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64" w:lineRule="auto"/>
      </w:pPr>
      <w:r>
        <w:rPr>
          <w:rFonts w:ascii="Calibri" w:hAnsi="Calibri" w:eastAsia="Microsoft YaHei"/>
          <w:b/>
          <w:i w:val="0"/>
          <w:color w:val="58606E"/>
          <w:sz w:val="22"/>
        </w:rPr>
        <w:t>专家级方法研究报告</w:t>
      </w:r>
    </w:p>
    <w:p>
      <w:pPr>
        <w:spacing w:after="60" w:line="264" w:lineRule="auto"/>
      </w:pPr>
      <w:r>
        <w:rPr>
          <w:rFonts w:ascii="Calibri" w:hAnsi="Calibri" w:eastAsia="Microsoft YaHei"/>
          <w:b/>
          <w:i w:val="0"/>
          <w:color w:val="141F2B"/>
          <w:sz w:val="48"/>
        </w:rPr>
        <w:t>260701_trend decomposition</w:t>
      </w:r>
    </w:p>
    <w:p>
      <w:pPr>
        <w:spacing w:after="200" w:line="264" w:lineRule="auto"/>
      </w:pPr>
      <w:r>
        <w:rPr>
          <w:rFonts w:ascii="Calibri" w:hAnsi="Calibri" w:eastAsia="Microsoft YaHei"/>
          <w:b/>
          <w:i w:val="0"/>
          <w:color w:val="1F4D78"/>
          <w:sz w:val="28"/>
        </w:rPr>
        <w:t>工艺分层因果加性分解与残差创新化白化方法评估</w:t>
      </w:r>
    </w:p>
    <w:p>
      <w:pPr>
        <w:spacing w:after="20" w:line="264" w:lineRule="auto"/>
      </w:pPr>
      <w:r>
        <w:rPr>
          <w:rFonts w:ascii="Calibri" w:hAnsi="Calibri" w:eastAsia="Microsoft YaHei"/>
          <w:b w:val="0"/>
          <w:i w:val="0"/>
          <w:color w:val="58606E"/>
          <w:sz w:val="19"/>
        </w:rPr>
        <w:t>项目路径：D:\004_git\beian_tree\Project 1 Data Quality Assessment\1.1 Decomposition</w:t>
      </w:r>
    </w:p>
    <w:p>
      <w:pPr>
        <w:spacing w:after="240" w:line="264" w:lineRule="auto"/>
      </w:pPr>
      <w:r>
        <w:rPr>
          <w:rFonts w:ascii="Calibri" w:hAnsi="Calibri" w:eastAsia="Microsoft YaHei"/>
          <w:b w:val="0"/>
          <w:i w:val="0"/>
          <w:color w:val="58606E"/>
          <w:sz w:val="19"/>
        </w:rPr>
        <w:t>更新日期：2026-07-01</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eastAsia="Microsoft YaHei"/>
                <w:b/>
                <w:color w:val="1F4D78"/>
                <w:sz w:val="21"/>
              </w:rPr>
              <w:t>核心结论</w:t>
            </w:r>
          </w:p>
          <w:p>
            <w:pPr>
              <w:spacing w:after="0" w:line="269" w:lineRule="auto"/>
            </w:pPr>
            <w:r>
              <w:rPr>
                <w:rFonts w:ascii="Calibri" w:hAnsi="Calibri" w:eastAsia="Microsoft YaHei"/>
                <w:sz w:val="20"/>
              </w:rPr>
              <w:t>建议将本项目方法正式命名为“工艺分层因果加性分解”（Process-stratified Causal Additive Decomposition, PCAD）。该名称比“差异化因果加性分解”更符合统计建模与环境过程数据分析语境，能够同时体现工艺语义分层、因果无泄漏估计、多速率原生轨道和加性分解框架。该方法区别于经典加性时间序列分解的关键不在于公式形式本身，而在于参数分层、因果尾随窗口估计、自适应谐波选阶、因果 STL 精修、残差充分性检验以及白化可用性路由。</w:t>
            </w:r>
          </w:p>
        </w:tc>
      </w:tr>
    </w:tbl>
    <w:p>
      <w:pPr>
        <w:spacing w:after="40"/>
      </w:pPr>
    </w:p>
    <w:p>
      <w:pPr>
        <w:pStyle w:val="Heading1"/>
      </w:pPr>
      <w:r>
        <w:t>一、方法命名与流程图总体评价</w:t>
      </w:r>
    </w:p>
    <w:p>
      <w:pPr>
        <w:spacing w:line="264" w:lineRule="auto"/>
      </w:pPr>
      <w:r>
        <w:rPr>
          <w:rFonts w:ascii="Calibri" w:hAnsi="Calibri" w:eastAsia="Microsoft YaHei"/>
          <w:b w:val="0"/>
          <w:i w:val="0"/>
          <w:sz w:val="22"/>
        </w:rPr>
        <w:t>用户提供的新版流程图总体准确，已覆盖本项目 1.1 Decomposition 的主要工程链路：数据采集与保留标识的预处理、多速率原始序列、工艺分层因果加性分解、趋势/周期/残差分量、分解充分性检查、残差创新化白化、白化模型准入准则、标准化创新或稳健标准化残差输出，以及面向 WW-DQR 的白化有效性元数据表。</w:t>
      </w:r>
    </w:p>
    <w:p>
      <w:r>
        <w:drawing>
          <wp:inline xmlns:a="http://schemas.openxmlformats.org/drawingml/2006/main" xmlns:pic="http://schemas.openxmlformats.org/drawingml/2006/picture">
            <wp:extent cx="4754880" cy="6099087"/>
            <wp:docPr id="1" name="Picture 1"/>
            <wp:cNvGraphicFramePr>
              <a:graphicFrameLocks noChangeAspect="1"/>
            </wp:cNvGraphicFramePr>
            <a:graphic>
              <a:graphicData uri="http://schemas.openxmlformats.org/drawingml/2006/picture">
                <pic:pic>
                  <pic:nvPicPr>
                    <pic:cNvPr id="0" name="codex-clipboard-256497ab-00a4-40ba-a85e-6c30d6c7db74.png"/>
                    <pic:cNvPicPr/>
                  </pic:nvPicPr>
                  <pic:blipFill>
                    <a:blip r:embed="rId11"/>
                    <a:stretch>
                      <a:fillRect/>
                    </a:stretch>
                  </pic:blipFill>
                  <pic:spPr>
                    <a:xfrm>
                      <a:off x="0" y="0"/>
                      <a:ext cx="4754880" cy="6099087"/>
                    </a:xfrm>
                    <a:prstGeom prst="rect"/>
                  </pic:spPr>
                </pic:pic>
              </a:graphicData>
            </a:graphic>
          </wp:inline>
        </w:drawing>
      </w:r>
    </w:p>
    <w:p>
      <w:pPr>
        <w:jc w:val="center"/>
      </w:pPr>
      <w:r>
        <w:rPr>
          <w:rFonts w:ascii="Calibri" w:hAnsi="Calibri" w:eastAsia="Microsoft YaHei"/>
          <w:i/>
          <w:color w:val="58606E"/>
          <w:sz w:val="18"/>
        </w:rPr>
        <w:t>图 1  本项目趋势分解与残差创新化白化方法流程图</w:t>
      </w:r>
    </w:p>
    <w:p>
      <w:pPr>
        <w:spacing w:line="264" w:lineRule="auto"/>
      </w:pPr>
      <w:r>
        <w:rPr>
          <w:rFonts w:ascii="Calibri" w:hAnsi="Calibri" w:eastAsia="Microsoft YaHei"/>
          <w:b w:val="0"/>
          <w:i w:val="0"/>
          <w:sz w:val="22"/>
        </w:rPr>
        <w:t>需要强调的是，流程图中的 Decomposition sufficiency check 应理解为针对残差 ε_k(t) 的残差谱峰显著性检验，而不是对 m_k(t)、s_k(t)、ε_k(t) 三个分量平均施加的抽象检查。m_k(t) 与 s_k(t) 可作为下游 regime/baseline/drift 分析输入，但不进入 ARMA/GARCH 白化；白化对象是去趋势去周期残差 ε_k(t)。</w:t>
      </w:r>
    </w:p>
    <w:p>
      <w:pPr>
        <w:pStyle w:val="Heading2"/>
      </w:pPr>
      <w:r>
        <w:t>1.1 原始序列旁是否需要标注 min/h 数据</w:t>
      </w:r>
    </w:p>
    <w:p>
      <w:pPr>
        <w:spacing w:line="264" w:lineRule="auto"/>
      </w:pPr>
      <w:r>
        <w:rPr>
          <w:rFonts w:ascii="Calibri" w:hAnsi="Calibri" w:eastAsia="Microsoft YaHei"/>
          <w:b w:val="0"/>
          <w:i w:val="0"/>
          <w:sz w:val="22"/>
        </w:rPr>
        <w:t>建议在 Original sequences 旁明确标注“多速率原生分辨率输入轨道”，因为这是本项目区别于常规单频率时间序列分解的重要设计。仅写 h/min 不够专业，容易被理解为简单的采样单位提示，而不是方法论层面的 native-resolution decomposition。</w:t>
      </w:r>
    </w:p>
    <w:tbl>
      <w:tblPr>
        <w:tblStyle w:val="TableGrid"/>
        <w:tblW w:type="dxa" w:w="9360"/>
        <w:jc w:val="left"/>
        <w:tblLayout w:type="fixed"/>
        <w:tblLook w:firstColumn="1" w:firstRow="1" w:lastColumn="0" w:lastRow="0" w:noHBand="0" w:noVBand="1" w:val="04A0"/>
        <w:tblInd w:w="120" w:type="dxa"/>
      </w:tblPr>
      <w:tblGrid>
        <w:gridCol w:w="2600"/>
        <w:gridCol w:w="2600"/>
        <w:gridCol w:w="4160"/>
      </w:tblGrid>
      <w:tr>
        <w:tc>
          <w:tcPr>
            <w:tcW w:type="dxa" w:w="2600"/>
            <w:shd w:fill="F2F4F7"/>
            <w:vAlign w:val="center"/>
            <w:tcMar>
              <w:top w:w="80" w:type="dxa"/>
              <w:start w:w="120" w:type="dxa"/>
              <w:bottom w:w="80" w:type="dxa"/>
              <w:end w:w="120" w:type="dxa"/>
            </w:tcMar>
          </w:tcPr>
          <w:p>
            <w:pPr>
              <w:spacing w:after="0"/>
            </w:pPr>
            <w:r>
              <w:rPr>
                <w:rFonts w:ascii="Calibri" w:hAnsi="Calibri" w:eastAsia="Microsoft YaHei"/>
                <w:b/>
                <w:color w:val="141F2B"/>
                <w:sz w:val="17"/>
              </w:rPr>
              <w:t>推荐图中英文</w:t>
            </w:r>
          </w:p>
        </w:tc>
        <w:tc>
          <w:tcPr>
            <w:tcW w:type="dxa" w:w="2600"/>
            <w:shd w:fill="F2F4F7"/>
            <w:vAlign w:val="center"/>
            <w:tcMar>
              <w:top w:w="80" w:type="dxa"/>
              <w:start w:w="120" w:type="dxa"/>
              <w:bottom w:w="80" w:type="dxa"/>
              <w:end w:w="120" w:type="dxa"/>
            </w:tcMar>
          </w:tcPr>
          <w:p>
            <w:pPr>
              <w:spacing w:after="0"/>
            </w:pPr>
            <w:r>
              <w:rPr>
                <w:rFonts w:ascii="Calibri" w:hAnsi="Calibri" w:eastAsia="Microsoft YaHei"/>
                <w:b/>
                <w:color w:val="141F2B"/>
                <w:sz w:val="17"/>
              </w:rPr>
              <w:t>推荐中文</w:t>
            </w:r>
          </w:p>
        </w:tc>
        <w:tc>
          <w:tcPr>
            <w:tcW w:type="dxa" w:w="4160"/>
            <w:shd w:fill="F2F4F7"/>
            <w:vAlign w:val="center"/>
            <w:tcMar>
              <w:top w:w="80" w:type="dxa"/>
              <w:start w:w="120" w:type="dxa"/>
              <w:bottom w:w="80" w:type="dxa"/>
              <w:end w:w="120" w:type="dxa"/>
            </w:tcMar>
          </w:tcPr>
          <w:p>
            <w:pPr>
              <w:spacing w:after="0"/>
            </w:pPr>
            <w:r>
              <w:rPr>
                <w:rFonts w:ascii="Calibri" w:hAnsi="Calibri" w:eastAsia="Microsoft YaHei"/>
                <w:b/>
                <w:color w:val="141F2B"/>
                <w:sz w:val="17"/>
              </w:rPr>
              <w:t>方法含义</w:t>
            </w:r>
          </w:p>
        </w:tc>
      </w:tr>
      <w:tr>
        <w:tc>
          <w:tcPr>
            <w:tcW w:type="dxa" w:w="2600"/>
            <w:vAlign w:val="center"/>
            <w:tcMar>
              <w:top w:w="80" w:type="dxa"/>
              <w:start w:w="120" w:type="dxa"/>
              <w:bottom w:w="80" w:type="dxa"/>
              <w:end w:w="120" w:type="dxa"/>
            </w:tcMar>
          </w:tcPr>
          <w:p>
            <w:pPr>
              <w:spacing w:after="0" w:line="252" w:lineRule="auto"/>
            </w:pPr>
            <w:r>
              <w:rPr>
                <w:rFonts w:ascii="Calibri" w:hAnsi="Calibri" w:eastAsia="Microsoft YaHei"/>
                <w:sz w:val="17"/>
              </w:rPr>
              <w:t>Native-resolution input streams</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sz w:val="17"/>
              </w:rPr>
              <w:t>原生分辨率输入轨道</w:t>
            </w:r>
          </w:p>
        </w:tc>
        <w:tc>
          <w:tcPr>
            <w:tcW w:type="dxa" w:w="4160"/>
            <w:vAlign w:val="center"/>
            <w:tcMar>
              <w:top w:w="80" w:type="dxa"/>
              <w:start w:w="120" w:type="dxa"/>
              <w:bottom w:w="80" w:type="dxa"/>
              <w:end w:w="120" w:type="dxa"/>
            </w:tcMar>
          </w:tcPr>
          <w:p>
            <w:pPr>
              <w:spacing w:after="0" w:line="252" w:lineRule="auto"/>
            </w:pPr>
            <w:r>
              <w:rPr>
                <w:rFonts w:ascii="Calibri" w:hAnsi="Calibri" w:eastAsia="Microsoft YaHei"/>
                <w:sz w:val="17"/>
              </w:rPr>
              <w:t>强调每类数据先在自身原生采样分辨率上分解。</w:t>
            </w:r>
          </w:p>
        </w:tc>
      </w:tr>
      <w:tr>
        <w:tc>
          <w:tcPr>
            <w:tcW w:type="dxa" w:w="2600"/>
            <w:vAlign w:val="center"/>
            <w:tcMar>
              <w:top w:w="80" w:type="dxa"/>
              <w:start w:w="120" w:type="dxa"/>
              <w:bottom w:w="80" w:type="dxa"/>
              <w:end w:w="120" w:type="dxa"/>
            </w:tcMar>
          </w:tcPr>
          <w:p>
            <w:pPr>
              <w:spacing w:after="0" w:line="252" w:lineRule="auto"/>
            </w:pPr>
            <w:r>
              <w:rPr>
                <w:rFonts w:ascii="Calibri" w:hAnsi="Calibri" w:eastAsia="Microsoft YaHei"/>
                <w:sz w:val="17"/>
              </w:rPr>
              <w:t>1-min process signals: DO / ORP / QR-QIR</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sz w:val="17"/>
              </w:rPr>
              <w:t>分钟级过程信号：DO / ORP / QR-QIR</w:t>
            </w:r>
          </w:p>
        </w:tc>
        <w:tc>
          <w:tcPr>
            <w:tcW w:type="dxa" w:w="4160"/>
            <w:vAlign w:val="center"/>
            <w:tcMar>
              <w:top w:w="80" w:type="dxa"/>
              <w:start w:w="120" w:type="dxa"/>
              <w:bottom w:w="80" w:type="dxa"/>
              <w:end w:w="120" w:type="dxa"/>
            </w:tcMar>
          </w:tcPr>
          <w:p>
            <w:pPr>
              <w:spacing w:after="0" w:line="252" w:lineRule="auto"/>
            </w:pPr>
            <w:r>
              <w:rPr>
                <w:rFonts w:ascii="Calibri" w:hAnsi="Calibri" w:eastAsia="Microsoft YaHei"/>
                <w:sz w:val="17"/>
              </w:rPr>
              <w:t>对应在线过程监测数据，保留分钟级控制与曝气波动。</w:t>
            </w:r>
          </w:p>
        </w:tc>
      </w:tr>
      <w:tr>
        <w:tc>
          <w:tcPr>
            <w:tcW w:type="dxa" w:w="2600"/>
            <w:vAlign w:val="center"/>
            <w:tcMar>
              <w:top w:w="80" w:type="dxa"/>
              <w:start w:w="120" w:type="dxa"/>
              <w:bottom w:w="80" w:type="dxa"/>
              <w:end w:w="120" w:type="dxa"/>
            </w:tcMar>
          </w:tcPr>
          <w:p>
            <w:pPr>
              <w:spacing w:after="0" w:line="252" w:lineRule="auto"/>
            </w:pPr>
            <w:r>
              <w:rPr>
                <w:rFonts w:ascii="Calibri" w:hAnsi="Calibri" w:eastAsia="Microsoft YaHei"/>
                <w:sz w:val="17"/>
              </w:rPr>
              <w:t>1-h water-quality series: influent / effluent</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sz w:val="17"/>
              </w:rPr>
              <w:t>小时级水质序列：进水 / 出水</w:t>
            </w:r>
          </w:p>
        </w:tc>
        <w:tc>
          <w:tcPr>
            <w:tcW w:type="dxa" w:w="4160"/>
            <w:vAlign w:val="center"/>
            <w:tcMar>
              <w:top w:w="80" w:type="dxa"/>
              <w:start w:w="120" w:type="dxa"/>
              <w:bottom w:w="80" w:type="dxa"/>
              <w:end w:w="120" w:type="dxa"/>
            </w:tcMar>
          </w:tcPr>
          <w:p>
            <w:pPr>
              <w:spacing w:after="0" w:line="252" w:lineRule="auto"/>
            </w:pPr>
            <w:r>
              <w:rPr>
                <w:rFonts w:ascii="Calibri" w:hAnsi="Calibri" w:eastAsia="Microsoft YaHei"/>
                <w:sz w:val="17"/>
              </w:rPr>
              <w:t>对应实验室或在线小时级水质数据，避免扩展到 1min 后产生伪高频。</w:t>
            </w:r>
          </w:p>
        </w:tc>
      </w:tr>
      <w:tr>
        <w:tc>
          <w:tcPr>
            <w:tcW w:type="dxa" w:w="2600"/>
            <w:vAlign w:val="center"/>
            <w:tcMar>
              <w:top w:w="80" w:type="dxa"/>
              <w:start w:w="120" w:type="dxa"/>
              <w:bottom w:w="80" w:type="dxa"/>
              <w:end w:w="120" w:type="dxa"/>
            </w:tcMar>
          </w:tcPr>
          <w:p>
            <w:pPr>
              <w:spacing w:after="0" w:line="252" w:lineRule="auto"/>
            </w:pPr>
            <w:r>
              <w:rPr>
                <w:rFonts w:ascii="Calibri" w:hAnsi="Calibri" w:eastAsia="Microsoft YaHei"/>
                <w:sz w:val="17"/>
              </w:rPr>
              <w:t>Multi-rate native-track decomposition</w:t>
            </w:r>
          </w:p>
        </w:tc>
        <w:tc>
          <w:tcPr>
            <w:tcW w:type="dxa" w:w="2600"/>
            <w:vAlign w:val="center"/>
            <w:tcMar>
              <w:top w:w="80" w:type="dxa"/>
              <w:start w:w="120" w:type="dxa"/>
              <w:bottom w:w="80" w:type="dxa"/>
              <w:end w:w="120" w:type="dxa"/>
            </w:tcMar>
          </w:tcPr>
          <w:p>
            <w:pPr>
              <w:spacing w:after="0" w:line="252" w:lineRule="auto"/>
            </w:pPr>
            <w:r>
              <w:rPr>
                <w:rFonts w:ascii="Calibri" w:hAnsi="Calibri" w:eastAsia="Microsoft YaHei"/>
                <w:sz w:val="17"/>
              </w:rPr>
              <w:t>多速率原生轨道分解</w:t>
            </w:r>
          </w:p>
        </w:tc>
        <w:tc>
          <w:tcPr>
            <w:tcW w:type="dxa" w:w="4160"/>
            <w:vAlign w:val="center"/>
            <w:tcMar>
              <w:top w:w="80" w:type="dxa"/>
              <w:start w:w="120" w:type="dxa"/>
              <w:bottom w:w="80" w:type="dxa"/>
              <w:end w:w="120" w:type="dxa"/>
            </w:tcMar>
          </w:tcPr>
          <w:p>
            <w:pPr>
              <w:spacing w:after="0" w:line="252" w:lineRule="auto"/>
            </w:pPr>
            <w:r>
              <w:rPr>
                <w:rFonts w:ascii="Calibri" w:hAnsi="Calibri" w:eastAsia="Microsoft YaHei"/>
                <w:sz w:val="17"/>
              </w:rPr>
              <w:t>体现本项目先分解、后对齐到统一 1min 底座的策略。</w:t>
            </w:r>
          </w:p>
        </w:tc>
      </w:tr>
    </w:tbl>
    <w:p>
      <w:pPr>
        <w:spacing w:after="40"/>
      </w:pPr>
    </w:p>
    <w:p>
      <w:pPr>
        <w:pStyle w:val="Heading2"/>
      </w:pPr>
      <w:r>
        <w:t>1.2 是否需要标注 trailing-window trend</w:t>
      </w:r>
    </w:p>
    <w:p>
      <w:pPr>
        <w:spacing w:line="264" w:lineRule="auto"/>
      </w:pPr>
      <w:r>
        <w:rPr>
          <w:rFonts w:ascii="Calibri" w:hAnsi="Calibri" w:eastAsia="Microsoft YaHei"/>
          <w:b w:val="0"/>
          <w:i w:val="0"/>
          <w:sz w:val="22"/>
        </w:rPr>
        <w:t>建议保留。图中“adaptive harmonics + causal STL + trailing-window trend”是准确的，但可进一步专业化为“adaptive harmonics + causal STL refinement + causal trailing-window trend estimation”。该短语说明趋势项不是整段居中平滑，而是仅使用当前时刻之前的窗口数据。</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4F6F9"/>
          </w:tcPr>
          <w:p>
            <w:pPr>
              <w:spacing w:after="60"/>
            </w:pPr>
            <w:r>
              <w:rPr>
                <w:rFonts w:ascii="Calibri" w:hAnsi="Calibri" w:eastAsia="Microsoft YaHei"/>
                <w:b/>
                <w:color w:val="1F4D78"/>
                <w:sz w:val="21"/>
              </w:rPr>
              <w:t>推荐图中标注</w:t>
            </w:r>
          </w:p>
          <w:p>
            <w:pPr>
              <w:spacing w:after="0" w:line="269" w:lineRule="auto"/>
            </w:pPr>
            <w:r>
              <w:rPr>
                <w:rFonts w:ascii="Calibri" w:hAnsi="Calibri" w:eastAsia="Microsoft YaHei"/>
                <w:sz w:val="20"/>
              </w:rPr>
              <w:t>Process-stratified causal additive decomposition</w:t>
              <w:br/>
              <w:t>adaptive harmonics + causal STL refinement + causal trailing-window trend estimation</w:t>
            </w:r>
          </w:p>
        </w:tc>
      </w:tr>
    </w:tbl>
    <w:p>
      <w:pPr>
        <w:spacing w:after="40"/>
      </w:pPr>
    </w:p>
    <w:p>
      <w:pPr>
        <w:pStyle w:val="Heading1"/>
      </w:pPr>
      <w:r>
        <w:t>二、与经典加性时间序列分解的区别</w:t>
      </w:r>
    </w:p>
    <w:p>
      <w:pPr>
        <w:spacing w:line="264" w:lineRule="auto"/>
      </w:pPr>
      <w:r>
        <w:rPr>
          <w:rFonts w:ascii="Calibri" w:hAnsi="Calibri" w:eastAsia="Microsoft YaHei"/>
          <w:b w:val="0"/>
          <w:i w:val="0"/>
          <w:sz w:val="22"/>
        </w:rPr>
        <w:t>经典加性时间序列分解通常写作 X(t)=T(t)+S(t)+R(t)，主要服务于季节调整、解释与预测。本项目仍保留加性结构，但它的目标是为数据质量评估构造合法输入，因此更强调因果性、异常证据保留、工艺分层和残差统计可用性。</w:t>
      </w:r>
    </w:p>
    <w:tbl>
      <w:tblPr>
        <w:tblStyle w:val="TableGrid"/>
        <w:tblW w:type="dxa" w:w="9360"/>
        <w:jc w:val="left"/>
        <w:tblLayout w:type="fixed"/>
        <w:tblLook w:firstColumn="1" w:firstRow="1" w:lastColumn="0" w:lastRow="0" w:noHBand="0" w:noVBand="1" w:val="04A0"/>
        <w:tblInd w:w="120" w:type="dxa"/>
      </w:tblPr>
      <w:tblGrid>
        <w:gridCol w:w="1500"/>
        <w:gridCol w:w="2300"/>
        <w:gridCol w:w="3000"/>
        <w:gridCol w:w="2560"/>
      </w:tblGrid>
      <w:tr>
        <w:tc>
          <w:tcPr>
            <w:tcW w:type="dxa" w:w="1500"/>
            <w:shd w:fill="F2F4F7"/>
            <w:vAlign w:val="center"/>
            <w:tcMar>
              <w:top w:w="80" w:type="dxa"/>
              <w:start w:w="120" w:type="dxa"/>
              <w:bottom w:w="80" w:type="dxa"/>
              <w:end w:w="120" w:type="dxa"/>
            </w:tcMar>
          </w:tcPr>
          <w:p>
            <w:pPr>
              <w:spacing w:after="0"/>
            </w:pPr>
            <w:r>
              <w:rPr>
                <w:rFonts w:ascii="Calibri" w:hAnsi="Calibri" w:eastAsia="Microsoft YaHei"/>
                <w:b/>
                <w:color w:val="141F2B"/>
                <w:sz w:val="16"/>
              </w:rPr>
              <w:t>比较维度</w:t>
            </w:r>
          </w:p>
        </w:tc>
        <w:tc>
          <w:tcPr>
            <w:tcW w:type="dxa" w:w="2300"/>
            <w:shd w:fill="F2F4F7"/>
            <w:vAlign w:val="center"/>
            <w:tcMar>
              <w:top w:w="80" w:type="dxa"/>
              <w:start w:w="120" w:type="dxa"/>
              <w:bottom w:w="80" w:type="dxa"/>
              <w:end w:w="120" w:type="dxa"/>
            </w:tcMar>
          </w:tcPr>
          <w:p>
            <w:pPr>
              <w:spacing w:after="0"/>
            </w:pPr>
            <w:r>
              <w:rPr>
                <w:rFonts w:ascii="Calibri" w:hAnsi="Calibri" w:eastAsia="Microsoft YaHei"/>
                <w:b/>
                <w:color w:val="141F2B"/>
                <w:sz w:val="16"/>
              </w:rPr>
              <w:t>经典加性分解</w:t>
            </w:r>
          </w:p>
        </w:tc>
        <w:tc>
          <w:tcPr>
            <w:tcW w:type="dxa" w:w="3000"/>
            <w:shd w:fill="F2F4F7"/>
            <w:vAlign w:val="center"/>
            <w:tcMar>
              <w:top w:w="80" w:type="dxa"/>
              <w:start w:w="120" w:type="dxa"/>
              <w:bottom w:w="80" w:type="dxa"/>
              <w:end w:w="120" w:type="dxa"/>
            </w:tcMar>
          </w:tcPr>
          <w:p>
            <w:pPr>
              <w:spacing w:after="0"/>
            </w:pPr>
            <w:r>
              <w:rPr>
                <w:rFonts w:ascii="Calibri" w:hAnsi="Calibri" w:eastAsia="Microsoft YaHei"/>
                <w:b/>
                <w:color w:val="141F2B"/>
                <w:sz w:val="16"/>
              </w:rPr>
              <w:t>本项目 PCAD 方法</w:t>
            </w:r>
          </w:p>
        </w:tc>
        <w:tc>
          <w:tcPr>
            <w:tcW w:type="dxa" w:w="2560"/>
            <w:shd w:fill="F2F4F7"/>
            <w:vAlign w:val="center"/>
            <w:tcMar>
              <w:top w:w="80" w:type="dxa"/>
              <w:start w:w="120" w:type="dxa"/>
              <w:bottom w:w="80" w:type="dxa"/>
              <w:end w:w="120" w:type="dxa"/>
            </w:tcMar>
          </w:tcPr>
          <w:p>
            <w:pPr>
              <w:spacing w:after="0"/>
            </w:pPr>
            <w:r>
              <w:rPr>
                <w:rFonts w:ascii="Calibri" w:hAnsi="Calibri" w:eastAsia="Microsoft YaHei"/>
                <w:b/>
                <w:color w:val="141F2B"/>
                <w:sz w:val="16"/>
              </w:rPr>
              <w:t>数据质量评估意义</w:t>
            </w:r>
          </w:p>
        </w:tc>
      </w:tr>
      <w:tr>
        <w:tc>
          <w:tcPr>
            <w:tcW w:type="dxa" w:w="1500"/>
            <w:vAlign w:val="center"/>
            <w:tcMar>
              <w:top w:w="80" w:type="dxa"/>
              <w:start w:w="120" w:type="dxa"/>
              <w:bottom w:w="80" w:type="dxa"/>
              <w:end w:w="120" w:type="dxa"/>
            </w:tcMar>
          </w:tcPr>
          <w:p>
            <w:pPr>
              <w:spacing w:after="0" w:line="252" w:lineRule="auto"/>
            </w:pPr>
            <w:r>
              <w:rPr>
                <w:rFonts w:ascii="Calibri" w:hAnsi="Calibri" w:eastAsia="Microsoft YaHei"/>
                <w:sz w:val="16"/>
              </w:rPr>
              <w:t>建模目标</w:t>
            </w:r>
          </w:p>
        </w:tc>
        <w:tc>
          <w:tcPr>
            <w:tcW w:type="dxa" w:w="2300"/>
            <w:vAlign w:val="center"/>
            <w:tcMar>
              <w:top w:w="80" w:type="dxa"/>
              <w:start w:w="120" w:type="dxa"/>
              <w:bottom w:w="80" w:type="dxa"/>
              <w:end w:w="120" w:type="dxa"/>
            </w:tcMar>
          </w:tcPr>
          <w:p>
            <w:pPr>
              <w:spacing w:after="0" w:line="252" w:lineRule="auto"/>
            </w:pPr>
            <w:r>
              <w:rPr>
                <w:rFonts w:ascii="Calibri" w:hAnsi="Calibri" w:eastAsia="Microsoft YaHei"/>
                <w:sz w:val="16"/>
              </w:rPr>
              <w:t>解释趋势、季节和剩余项</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6"/>
              </w:rPr>
              <w:t>构造去趋势去周期残差与可路由创新序列</w:t>
            </w:r>
          </w:p>
        </w:tc>
        <w:tc>
          <w:tcPr>
            <w:tcW w:type="dxa" w:w="2560"/>
            <w:vAlign w:val="center"/>
            <w:tcMar>
              <w:top w:w="80" w:type="dxa"/>
              <w:start w:w="120" w:type="dxa"/>
              <w:bottom w:w="80" w:type="dxa"/>
              <w:end w:w="120" w:type="dxa"/>
            </w:tcMar>
          </w:tcPr>
          <w:p>
            <w:pPr>
              <w:spacing w:after="0" w:line="252" w:lineRule="auto"/>
            </w:pPr>
            <w:r>
              <w:rPr>
                <w:rFonts w:ascii="Calibri" w:hAnsi="Calibri" w:eastAsia="Microsoft YaHei"/>
                <w:sz w:val="16"/>
              </w:rPr>
              <w:t>为 WW-DQR 提供统计合法输入。</w:t>
            </w:r>
          </w:p>
        </w:tc>
      </w:tr>
      <w:tr>
        <w:tc>
          <w:tcPr>
            <w:tcW w:type="dxa" w:w="1500"/>
            <w:vAlign w:val="center"/>
            <w:tcMar>
              <w:top w:w="80" w:type="dxa"/>
              <w:start w:w="120" w:type="dxa"/>
              <w:bottom w:w="80" w:type="dxa"/>
              <w:end w:w="120" w:type="dxa"/>
            </w:tcMar>
          </w:tcPr>
          <w:p>
            <w:pPr>
              <w:spacing w:after="0" w:line="252" w:lineRule="auto"/>
            </w:pPr>
            <w:r>
              <w:rPr>
                <w:rFonts w:ascii="Calibri" w:hAnsi="Calibri" w:eastAsia="Microsoft YaHei"/>
                <w:sz w:val="16"/>
              </w:rPr>
              <w:t>参数设定</w:t>
            </w:r>
          </w:p>
        </w:tc>
        <w:tc>
          <w:tcPr>
            <w:tcW w:type="dxa" w:w="2300"/>
            <w:vAlign w:val="center"/>
            <w:tcMar>
              <w:top w:w="80" w:type="dxa"/>
              <w:start w:w="120" w:type="dxa"/>
              <w:bottom w:w="80" w:type="dxa"/>
              <w:end w:w="120" w:type="dxa"/>
            </w:tcMar>
          </w:tcPr>
          <w:p>
            <w:pPr>
              <w:spacing w:after="0" w:line="252" w:lineRule="auto"/>
            </w:pPr>
            <w:r>
              <w:rPr>
                <w:rFonts w:ascii="Calibri" w:hAnsi="Calibri" w:eastAsia="Microsoft YaHei"/>
                <w:sz w:val="16"/>
              </w:rPr>
              <w:t>统一周期或统一 STL 参数</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6"/>
              </w:rPr>
              <w:t>按工艺组设置周期、阶数、趋势带宽和特殊路径</w:t>
            </w:r>
          </w:p>
        </w:tc>
        <w:tc>
          <w:tcPr>
            <w:tcW w:type="dxa" w:w="2560"/>
            <w:vAlign w:val="center"/>
            <w:tcMar>
              <w:top w:w="80" w:type="dxa"/>
              <w:start w:w="120" w:type="dxa"/>
              <w:bottom w:w="80" w:type="dxa"/>
              <w:end w:w="120" w:type="dxa"/>
            </w:tcMar>
          </w:tcPr>
          <w:p>
            <w:pPr>
              <w:spacing w:after="0" w:line="252" w:lineRule="auto"/>
            </w:pPr>
            <w:r>
              <w:rPr>
                <w:rFonts w:ascii="Calibri" w:hAnsi="Calibri" w:eastAsia="Microsoft YaHei"/>
                <w:sz w:val="16"/>
              </w:rPr>
              <w:t>避免 DO、ORP、回流、水质被同一参数误处理。</w:t>
            </w:r>
          </w:p>
        </w:tc>
      </w:tr>
      <w:tr>
        <w:tc>
          <w:tcPr>
            <w:tcW w:type="dxa" w:w="1500"/>
            <w:vAlign w:val="center"/>
            <w:tcMar>
              <w:top w:w="80" w:type="dxa"/>
              <w:start w:w="120" w:type="dxa"/>
              <w:bottom w:w="80" w:type="dxa"/>
              <w:end w:w="120" w:type="dxa"/>
            </w:tcMar>
          </w:tcPr>
          <w:p>
            <w:pPr>
              <w:spacing w:after="0" w:line="252" w:lineRule="auto"/>
            </w:pPr>
            <w:r>
              <w:rPr>
                <w:rFonts w:ascii="Calibri" w:hAnsi="Calibri" w:eastAsia="Microsoft YaHei"/>
                <w:sz w:val="16"/>
              </w:rPr>
              <w:t>估计方式</w:t>
            </w:r>
          </w:p>
        </w:tc>
        <w:tc>
          <w:tcPr>
            <w:tcW w:type="dxa" w:w="2300"/>
            <w:vAlign w:val="center"/>
            <w:tcMar>
              <w:top w:w="80" w:type="dxa"/>
              <w:start w:w="120" w:type="dxa"/>
              <w:bottom w:w="80" w:type="dxa"/>
              <w:end w:w="120" w:type="dxa"/>
            </w:tcMar>
          </w:tcPr>
          <w:p>
            <w:pPr>
              <w:spacing w:after="0" w:line="252" w:lineRule="auto"/>
            </w:pPr>
            <w:r>
              <w:rPr>
                <w:rFonts w:ascii="Calibri" w:hAnsi="Calibri" w:eastAsia="Microsoft YaHei"/>
                <w:sz w:val="16"/>
              </w:rPr>
              <w:t>常见整段/居中估计</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6"/>
              </w:rPr>
              <w:t>因果尾随窗口和历史窗口分块重估</w:t>
            </w:r>
          </w:p>
        </w:tc>
        <w:tc>
          <w:tcPr>
            <w:tcW w:type="dxa" w:w="2560"/>
            <w:vAlign w:val="center"/>
            <w:tcMar>
              <w:top w:w="80" w:type="dxa"/>
              <w:start w:w="120" w:type="dxa"/>
              <w:bottom w:w="80" w:type="dxa"/>
              <w:end w:w="120" w:type="dxa"/>
            </w:tcMar>
          </w:tcPr>
          <w:p>
            <w:pPr>
              <w:spacing w:after="0" w:line="252" w:lineRule="auto"/>
            </w:pPr>
            <w:r>
              <w:rPr>
                <w:rFonts w:ascii="Calibri" w:hAnsi="Calibri" w:eastAsia="Microsoft YaHei"/>
                <w:sz w:val="16"/>
              </w:rPr>
              <w:t>防止未来信息泄漏，可在线复现。</w:t>
            </w:r>
          </w:p>
        </w:tc>
      </w:tr>
      <w:tr>
        <w:tc>
          <w:tcPr>
            <w:tcW w:type="dxa" w:w="1500"/>
            <w:vAlign w:val="center"/>
            <w:tcMar>
              <w:top w:w="80" w:type="dxa"/>
              <w:start w:w="120" w:type="dxa"/>
              <w:bottom w:w="80" w:type="dxa"/>
              <w:end w:w="120" w:type="dxa"/>
            </w:tcMar>
          </w:tcPr>
          <w:p>
            <w:pPr>
              <w:spacing w:after="0" w:line="252" w:lineRule="auto"/>
            </w:pPr>
            <w:r>
              <w:rPr>
                <w:rFonts w:ascii="Calibri" w:hAnsi="Calibri" w:eastAsia="Microsoft YaHei"/>
                <w:sz w:val="16"/>
              </w:rPr>
              <w:t>周期模型</w:t>
            </w:r>
          </w:p>
        </w:tc>
        <w:tc>
          <w:tcPr>
            <w:tcW w:type="dxa" w:w="2300"/>
            <w:vAlign w:val="center"/>
            <w:tcMar>
              <w:top w:w="80" w:type="dxa"/>
              <w:start w:w="120" w:type="dxa"/>
              <w:bottom w:w="80" w:type="dxa"/>
              <w:end w:w="120" w:type="dxa"/>
            </w:tcMar>
          </w:tcPr>
          <w:p>
            <w:pPr>
              <w:spacing w:after="0" w:line="252" w:lineRule="auto"/>
            </w:pPr>
            <w:r>
              <w:rPr>
                <w:rFonts w:ascii="Calibri" w:hAnsi="Calibri" w:eastAsia="Microsoft YaHei"/>
                <w:sz w:val="16"/>
              </w:rPr>
              <w:t>固定季节项或低阶周期</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6"/>
              </w:rPr>
              <w:t>自适应 Fourier 谐波 + 因果 STL 精修</w:t>
            </w:r>
          </w:p>
        </w:tc>
        <w:tc>
          <w:tcPr>
            <w:tcW w:type="dxa" w:w="2560"/>
            <w:vAlign w:val="center"/>
            <w:tcMar>
              <w:top w:w="80" w:type="dxa"/>
              <w:start w:w="120" w:type="dxa"/>
              <w:bottom w:w="80" w:type="dxa"/>
              <w:end w:w="120" w:type="dxa"/>
            </w:tcMar>
          </w:tcPr>
          <w:p>
            <w:pPr>
              <w:spacing w:after="0" w:line="252" w:lineRule="auto"/>
            </w:pPr>
            <w:r>
              <w:rPr>
                <w:rFonts w:ascii="Calibri" w:hAnsi="Calibri" w:eastAsia="Microsoft YaHei"/>
                <w:sz w:val="16"/>
              </w:rPr>
              <w:t>同时处理正弦周期与曝气/控制方波。</w:t>
            </w:r>
          </w:p>
        </w:tc>
      </w:tr>
      <w:tr>
        <w:tc>
          <w:tcPr>
            <w:tcW w:type="dxa" w:w="1500"/>
            <w:vAlign w:val="center"/>
            <w:tcMar>
              <w:top w:w="80" w:type="dxa"/>
              <w:start w:w="120" w:type="dxa"/>
              <w:bottom w:w="80" w:type="dxa"/>
              <w:end w:w="120" w:type="dxa"/>
            </w:tcMar>
          </w:tcPr>
          <w:p>
            <w:pPr>
              <w:spacing w:after="0" w:line="252" w:lineRule="auto"/>
            </w:pPr>
            <w:r>
              <w:rPr>
                <w:rFonts w:ascii="Calibri" w:hAnsi="Calibri" w:eastAsia="Microsoft YaHei"/>
                <w:sz w:val="16"/>
              </w:rPr>
              <w:t>异常策略</w:t>
            </w:r>
          </w:p>
        </w:tc>
        <w:tc>
          <w:tcPr>
            <w:tcW w:type="dxa" w:w="2300"/>
            <w:vAlign w:val="center"/>
            <w:tcMar>
              <w:top w:w="80" w:type="dxa"/>
              <w:start w:w="120" w:type="dxa"/>
              <w:bottom w:w="80" w:type="dxa"/>
              <w:end w:w="120" w:type="dxa"/>
            </w:tcMar>
          </w:tcPr>
          <w:p>
            <w:pPr>
              <w:spacing w:after="0" w:line="252" w:lineRule="auto"/>
            </w:pPr>
            <w:r>
              <w:rPr>
                <w:rFonts w:ascii="Calibri" w:hAnsi="Calibri" w:eastAsia="Microsoft YaHei"/>
                <w:sz w:val="16"/>
              </w:rPr>
              <w:t>常先清洗异常</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6"/>
              </w:rPr>
              <w:t>标记而非清洗，异常保留为评分对象</w:t>
            </w:r>
          </w:p>
        </w:tc>
        <w:tc>
          <w:tcPr>
            <w:tcW w:type="dxa" w:w="2560"/>
            <w:vAlign w:val="center"/>
            <w:tcMar>
              <w:top w:w="80" w:type="dxa"/>
              <w:start w:w="120" w:type="dxa"/>
              <w:bottom w:w="80" w:type="dxa"/>
              <w:end w:w="120" w:type="dxa"/>
            </w:tcMar>
          </w:tcPr>
          <w:p>
            <w:pPr>
              <w:spacing w:after="0" w:line="252" w:lineRule="auto"/>
            </w:pPr>
            <w:r>
              <w:rPr>
                <w:rFonts w:ascii="Calibri" w:hAnsi="Calibri" w:eastAsia="Microsoft YaHei"/>
                <w:sz w:val="16"/>
              </w:rPr>
              <w:t>负流量、贴地板、截尾等进入后续质量评分。</w:t>
            </w:r>
          </w:p>
        </w:tc>
      </w:tr>
      <w:tr>
        <w:tc>
          <w:tcPr>
            <w:tcW w:type="dxa" w:w="1500"/>
            <w:vAlign w:val="center"/>
            <w:tcMar>
              <w:top w:w="80" w:type="dxa"/>
              <w:start w:w="120" w:type="dxa"/>
              <w:bottom w:w="80" w:type="dxa"/>
              <w:end w:w="120" w:type="dxa"/>
            </w:tcMar>
          </w:tcPr>
          <w:p>
            <w:pPr>
              <w:spacing w:after="0" w:line="252" w:lineRule="auto"/>
            </w:pPr>
            <w:r>
              <w:rPr>
                <w:rFonts w:ascii="Calibri" w:hAnsi="Calibri" w:eastAsia="Microsoft YaHei"/>
                <w:sz w:val="16"/>
              </w:rPr>
              <w:t>残差处理</w:t>
            </w:r>
          </w:p>
        </w:tc>
        <w:tc>
          <w:tcPr>
            <w:tcW w:type="dxa" w:w="2300"/>
            <w:vAlign w:val="center"/>
            <w:tcMar>
              <w:top w:w="80" w:type="dxa"/>
              <w:start w:w="120" w:type="dxa"/>
              <w:bottom w:w="80" w:type="dxa"/>
              <w:end w:w="120" w:type="dxa"/>
            </w:tcMar>
          </w:tcPr>
          <w:p>
            <w:pPr>
              <w:spacing w:after="0" w:line="252" w:lineRule="auto"/>
            </w:pPr>
            <w:r>
              <w:rPr>
                <w:rFonts w:ascii="Calibri" w:hAnsi="Calibri" w:eastAsia="Microsoft YaHei"/>
                <w:sz w:val="16"/>
              </w:rPr>
              <w:t>残差多用于解释</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6"/>
              </w:rPr>
              <w:t>残差进入白化模型与路由清单</w:t>
            </w:r>
          </w:p>
        </w:tc>
        <w:tc>
          <w:tcPr>
            <w:tcW w:type="dxa" w:w="2560"/>
            <w:vAlign w:val="center"/>
            <w:tcMar>
              <w:top w:w="80" w:type="dxa"/>
              <w:start w:w="120" w:type="dxa"/>
              <w:bottom w:w="80" w:type="dxa"/>
              <w:end w:w="120" w:type="dxa"/>
            </w:tcMar>
          </w:tcPr>
          <w:p>
            <w:pPr>
              <w:spacing w:after="0" w:line="252" w:lineRule="auto"/>
            </w:pPr>
            <w:r>
              <w:rPr>
                <w:rFonts w:ascii="Calibri" w:hAnsi="Calibri" w:eastAsia="Microsoft YaHei"/>
                <w:sz w:val="16"/>
              </w:rPr>
              <w:t>区分 iid、autocorrelation-aware、floor/freeze 评分路径。</w:t>
            </w:r>
          </w:p>
        </w:tc>
      </w:tr>
    </w:tbl>
    <w:p>
      <w:pPr>
        <w:spacing w:after="40"/>
      </w:pPr>
    </w:p>
    <w:p>
      <w:pPr>
        <w:pStyle w:val="Heading1"/>
      </w:pPr>
      <w:r>
        <w:t>三、总体数学框架</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X_k(t) = m_k(t) + s_k(t) + ε_k(t)</w:t>
            </w:r>
          </w:p>
          <w:p>
            <w:pPr>
              <w:spacing w:after="0" w:line="259" w:lineRule="auto"/>
            </w:pPr>
            <w:r>
              <w:rPr>
                <w:rFonts w:ascii="Calibri" w:hAnsi="Calibri" w:eastAsia="Microsoft YaHei"/>
                <w:color w:val="58606E"/>
                <w:sz w:val="18"/>
              </w:rPr>
              <w:t>X_k(t) 为第 k 个通道的原始序列；m_k(t) 为慢变趋势基线；s_k(t) 为周期/季节结构项；ε_k(t) 为去趋势去周期残差。</w:t>
            </w:r>
          </w:p>
        </w:tc>
      </w:tr>
    </w:tbl>
    <w:p>
      <w:pPr>
        <w:spacing w:line="264" w:lineRule="auto"/>
      </w:pPr>
      <w:r>
        <w:rPr>
          <w:rFonts w:ascii="Calibri" w:hAnsi="Calibri" w:eastAsia="Microsoft YaHei"/>
          <w:b w:val="0"/>
          <w:i w:val="0"/>
          <w:sz w:val="22"/>
        </w:rPr>
        <w:t>本项目的核心思想是：先用工艺分层参数估计可解释的慢趋势和周期结构，再将剩余的 ε_k(t) 作为异常、漂移、采集问题和不可解释扰动的承载体。随后，白化模块把可白化的 ε_k(t) 转换为标准化创新序列 η_k(t)，并对不可白化或截尾通道输出稳健标准化残差或截尾感知标准化残差。</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η_k(t) = W_k[ε_k(t)]</w:t>
            </w:r>
          </w:p>
          <w:p>
            <w:pPr>
              <w:spacing w:after="0" w:line="259" w:lineRule="auto"/>
            </w:pPr>
            <w:r>
              <w:rPr>
                <w:rFonts w:ascii="Calibri" w:hAnsi="Calibri" w:eastAsia="Microsoft YaHei"/>
                <w:color w:val="58606E"/>
                <w:sz w:val="18"/>
              </w:rPr>
              <w:t>W_k 为逐通道白化算子，可能来自 ARMA-family 均值模型与 GARCH 条件方差模型；若模型未通过准入，则输出 robust standardized residual 或 censoring-aware standardized residual。</w:t>
            </w:r>
          </w:p>
        </w:tc>
      </w:tr>
    </w:tbl>
    <w:p>
      <w:pPr>
        <w:pStyle w:val="Heading1"/>
      </w:pPr>
      <w:r>
        <w:t>四、构建方法的逐步目的、方法与实现</w:t>
      </w:r>
    </w:p>
    <w:p>
      <w:pPr>
        <w:pStyle w:val="Heading2"/>
      </w:pPr>
      <w:r>
        <w:t>步骤 1：保留标识的预处理</w:t>
      </w:r>
    </w:p>
    <w:p>
      <w:pPr>
        <w:spacing w:after="40" w:line="264" w:lineRule="auto"/>
      </w:pPr>
      <w:r>
        <w:rPr>
          <w:rFonts w:ascii="Calibri" w:hAnsi="Calibri" w:eastAsia="Microsoft YaHei"/>
          <w:b/>
          <w:i w:val="0"/>
          <w:color w:val="58606E"/>
          <w:sz w:val="20"/>
        </w:rPr>
        <w:t>英文术语：Flag-preserving Preprocessing</w:t>
      </w:r>
    </w:p>
    <w:p>
      <w:pPr>
        <w:spacing w:line="264" w:lineRule="auto"/>
      </w:pPr>
      <w:r>
        <w:rPr>
          <w:rFonts w:ascii="Calibri" w:hAnsi="Calibri" w:eastAsia="Microsoft YaHei"/>
          <w:b w:val="0"/>
          <w:i w:val="0"/>
          <w:sz w:val="22"/>
        </w:rPr>
        <w:t>目的：建立统一时间底座，同时保留缺失、越界、离群、截尾、hold 和过渡区等质量证据。</w:t>
      </w:r>
    </w:p>
    <w:p>
      <w:pPr>
        <w:spacing w:line="264" w:lineRule="auto"/>
      </w:pPr>
      <w:r>
        <w:rPr>
          <w:rFonts w:ascii="Calibri" w:hAnsi="Calibri" w:eastAsia="Microsoft YaHei"/>
          <w:b w:val="0"/>
          <w:i w:val="0"/>
          <w:sz w:val="22"/>
        </w:rPr>
        <w:t>方法：分钟级数据对齐到 1min 主时钟；小时级数据在原生 1h 轨道上预处理；异常不在底座阶段删除，而是通过 flags 记录，供后续 WW-DQR 使用。</w:t>
      </w:r>
    </w:p>
    <w:p>
      <w:pPr>
        <w:pStyle w:val="Heading2"/>
      </w:pPr>
      <w:r>
        <w:t>步骤 2：工艺语义分层</w:t>
      </w:r>
    </w:p>
    <w:p>
      <w:pPr>
        <w:spacing w:after="40" w:line="264" w:lineRule="auto"/>
      </w:pPr>
      <w:r>
        <w:rPr>
          <w:rFonts w:ascii="Calibri" w:hAnsi="Calibri" w:eastAsia="Microsoft YaHei"/>
          <w:b/>
          <w:i w:val="0"/>
          <w:color w:val="58606E"/>
          <w:sz w:val="20"/>
        </w:rPr>
        <w:t>英文术语：Process Semantic Stratification</w:t>
      </w:r>
    </w:p>
    <w:p>
      <w:pPr>
        <w:spacing w:line="264" w:lineRule="auto"/>
      </w:pPr>
      <w:r>
        <w:rPr>
          <w:rFonts w:ascii="Calibri" w:hAnsi="Calibri" w:eastAsia="Microsoft YaHei"/>
          <w:b w:val="0"/>
          <w:i w:val="0"/>
          <w:sz w:val="22"/>
        </w:rPr>
        <w:t>目的：把统计参数选择与污水厂工艺位置相绑定。</w:t>
      </w:r>
    </w:p>
    <w:p>
      <w:pPr>
        <w:spacing w:line="264" w:lineRule="auto"/>
      </w:pPr>
      <w:r>
        <w:rPr>
          <w:rFonts w:ascii="Calibri" w:hAnsi="Calibri" w:eastAsia="Microsoft YaHei"/>
          <w:b w:val="0"/>
          <w:i w:val="0"/>
          <w:sz w:val="22"/>
        </w:rPr>
        <w:t>方法：将通道分为 aerobic_do、postanoxic_do、anoxic_orp、flow、influent、influent_flow、effluent 等组，并为每组指定候选周期、谐波阶边界、趋势带宽和特殊处理。</w:t>
      </w:r>
    </w:p>
    <w:p>
      <w:pPr>
        <w:pStyle w:val="Heading2"/>
      </w:pPr>
      <w:r>
        <w:t>步骤 3：自适应谐波周期建模</w:t>
      </w:r>
    </w:p>
    <w:p>
      <w:pPr>
        <w:spacing w:after="40" w:line="264" w:lineRule="auto"/>
      </w:pPr>
      <w:r>
        <w:rPr>
          <w:rFonts w:ascii="Calibri" w:hAnsi="Calibri" w:eastAsia="Microsoft YaHei"/>
          <w:b/>
          <w:i w:val="0"/>
          <w:color w:val="58606E"/>
          <w:sz w:val="20"/>
        </w:rPr>
        <w:t>英文术语：Adaptive Harmonic Periodic Modeling</w:t>
      </w:r>
    </w:p>
    <w:p>
      <w:pPr>
        <w:spacing w:line="264" w:lineRule="auto"/>
      </w:pPr>
      <w:r>
        <w:rPr>
          <w:rFonts w:ascii="Calibri" w:hAnsi="Calibri" w:eastAsia="Microsoft YaHei"/>
          <w:b w:val="0"/>
          <w:i w:val="0"/>
          <w:sz w:val="22"/>
        </w:rPr>
        <w:t>目的：刻画日周期、半日周期和周周期中的正弦/准正弦结构。</w:t>
      </w:r>
    </w:p>
    <w:p>
      <w:pPr>
        <w:spacing w:line="264" w:lineRule="auto"/>
      </w:pPr>
      <w:r>
        <w:rPr>
          <w:rFonts w:ascii="Calibri" w:hAnsi="Calibri" w:eastAsia="Microsoft YaHei"/>
          <w:b w:val="0"/>
          <w:i w:val="0"/>
          <w:sz w:val="22"/>
        </w:rPr>
        <w:t>方法：构造 Fourier 谐波设计矩阵，通过 AIC、BIC 与嵌套 F 检验逐通道选择谐波阶数，并在后续历史窗口中分块重估系数。</w:t>
      </w:r>
    </w:p>
    <w:p>
      <w:pPr>
        <w:pStyle w:val="Heading2"/>
      </w:pPr>
      <w:r>
        <w:t>步骤 4：因果尾随窗口趋势估计</w:t>
      </w:r>
    </w:p>
    <w:p>
      <w:pPr>
        <w:spacing w:after="40" w:line="264" w:lineRule="auto"/>
      </w:pPr>
      <w:r>
        <w:rPr>
          <w:rFonts w:ascii="Calibri" w:hAnsi="Calibri" w:eastAsia="Microsoft YaHei"/>
          <w:b/>
          <w:i w:val="0"/>
          <w:color w:val="58606E"/>
          <w:sz w:val="20"/>
        </w:rPr>
        <w:t>英文术语：Causal Trailing-window Trend Estimation</w:t>
      </w:r>
    </w:p>
    <w:p>
      <w:pPr>
        <w:spacing w:line="264" w:lineRule="auto"/>
      </w:pPr>
      <w:r>
        <w:rPr>
          <w:rFonts w:ascii="Calibri" w:hAnsi="Calibri" w:eastAsia="Microsoft YaHei"/>
          <w:b w:val="0"/>
          <w:i w:val="0"/>
          <w:sz w:val="22"/>
        </w:rPr>
        <w:t>目的：估计不含未来信息的慢变趋势基线。</w:t>
      </w:r>
    </w:p>
    <w:p>
      <w:pPr>
        <w:spacing w:line="264" w:lineRule="auto"/>
      </w:pPr>
      <w:r>
        <w:rPr>
          <w:rFonts w:ascii="Calibri" w:hAnsi="Calibri" w:eastAsia="Microsoft YaHei"/>
          <w:b w:val="0"/>
          <w:i w:val="0"/>
          <w:sz w:val="22"/>
        </w:rPr>
        <w:t>方法：先从原始序列中减去周期项，再对去周期序列进行后向滚动均值估计；DO/ORP 通常使用 24h 带宽，回流和进出水水质通常使用 168h 带宽。</w:t>
      </w:r>
    </w:p>
    <w:p>
      <w:pPr>
        <w:pStyle w:val="Heading2"/>
      </w:pPr>
      <w:r>
        <w:t>步骤 5：因果 STL 精修</w:t>
      </w:r>
    </w:p>
    <w:p>
      <w:pPr>
        <w:spacing w:after="40" w:line="264" w:lineRule="auto"/>
      </w:pPr>
      <w:r>
        <w:rPr>
          <w:rFonts w:ascii="Calibri" w:hAnsi="Calibri" w:eastAsia="Microsoft YaHei"/>
          <w:b/>
          <w:i w:val="0"/>
          <w:color w:val="58606E"/>
          <w:sz w:val="20"/>
        </w:rPr>
        <w:t>英文术语：Causal STL Refinement</w:t>
      </w:r>
    </w:p>
    <w:p>
      <w:pPr>
        <w:spacing w:line="264" w:lineRule="auto"/>
      </w:pPr>
      <w:r>
        <w:rPr>
          <w:rFonts w:ascii="Calibri" w:hAnsi="Calibri" w:eastAsia="Microsoft YaHei"/>
          <w:b w:val="0"/>
          <w:i w:val="0"/>
          <w:sz w:val="22"/>
        </w:rPr>
        <w:t>目的：捕捉谐波难以表示的非正弦周期结构，例如曝气启停方波和控制逻辑造成的同相位形态。</w:t>
      </w:r>
    </w:p>
    <w:p>
      <w:pPr>
        <w:spacing w:line="264" w:lineRule="auto"/>
      </w:pPr>
      <w:r>
        <w:rPr>
          <w:rFonts w:ascii="Calibri" w:hAnsi="Calibri" w:eastAsia="Microsoft YaHei"/>
          <w:b w:val="0"/>
          <w:i w:val="0"/>
          <w:sz w:val="22"/>
        </w:rPr>
        <w:t>方法：对同一周期相位仅使用过去若干周期的残差均值进行尾随估计，得到严格因果的 STL-style seasonal refinement。</w:t>
      </w:r>
    </w:p>
    <w:p>
      <w:pPr>
        <w:pStyle w:val="Heading2"/>
      </w:pPr>
      <w:r>
        <w:t>步骤 6：分解充分性检验</w:t>
      </w:r>
    </w:p>
    <w:p>
      <w:pPr>
        <w:spacing w:after="40" w:line="264" w:lineRule="auto"/>
      </w:pPr>
      <w:r>
        <w:rPr>
          <w:rFonts w:ascii="Calibri" w:hAnsi="Calibri" w:eastAsia="Microsoft YaHei"/>
          <w:b/>
          <w:i w:val="0"/>
          <w:color w:val="58606E"/>
          <w:sz w:val="20"/>
        </w:rPr>
        <w:t>英文术语：Decomposition Sufficiency Test</w:t>
      </w:r>
    </w:p>
    <w:p>
      <w:pPr>
        <w:spacing w:line="264" w:lineRule="auto"/>
      </w:pPr>
      <w:r>
        <w:rPr>
          <w:rFonts w:ascii="Calibri" w:hAnsi="Calibri" w:eastAsia="Microsoft YaHei"/>
          <w:b w:val="0"/>
          <w:i w:val="0"/>
          <w:sz w:val="22"/>
        </w:rPr>
        <w:t>目的：判断目标周期是否已从残差中充分剥离。</w:t>
      </w:r>
    </w:p>
    <w:p>
      <w:pPr>
        <w:spacing w:line="264" w:lineRule="auto"/>
      </w:pPr>
      <w:r>
        <w:rPr>
          <w:rFonts w:ascii="Calibri" w:hAnsi="Calibri" w:eastAsia="Microsoft YaHei"/>
          <w:b w:val="0"/>
          <w:i w:val="0"/>
          <w:sz w:val="22"/>
        </w:rPr>
        <w:t>方法：计算残差在候选周期附近的局部谱峰显著性；若主周期峰比未低于阈值，则执行迭代因果 STL 再剥离，并记录 decomp_pass 与 stl_iters。</w:t>
      </w:r>
    </w:p>
    <w:p>
      <w:pPr>
        <w:pStyle w:val="Heading2"/>
      </w:pPr>
      <w:r>
        <w:t>步骤 7：残差创新化白化</w:t>
      </w:r>
    </w:p>
    <w:p>
      <w:pPr>
        <w:spacing w:after="40" w:line="264" w:lineRule="auto"/>
      </w:pPr>
      <w:r>
        <w:rPr>
          <w:rFonts w:ascii="Calibri" w:hAnsi="Calibri" w:eastAsia="Microsoft YaHei"/>
          <w:b/>
          <w:i w:val="0"/>
          <w:color w:val="58606E"/>
          <w:sz w:val="20"/>
        </w:rPr>
        <w:t>英文术语：Residual Innovation Whitening</w:t>
      </w:r>
    </w:p>
    <w:p>
      <w:pPr>
        <w:spacing w:line="264" w:lineRule="auto"/>
      </w:pPr>
      <w:r>
        <w:rPr>
          <w:rFonts w:ascii="Calibri" w:hAnsi="Calibri" w:eastAsia="Microsoft YaHei"/>
          <w:b w:val="0"/>
          <w:i w:val="0"/>
          <w:sz w:val="22"/>
        </w:rPr>
        <w:t>目的：将仍含自相关或条件异方差的残差转化为更接近独立统计单位的创新。</w:t>
      </w:r>
    </w:p>
    <w:p>
      <w:pPr>
        <w:spacing w:line="264" w:lineRule="auto"/>
      </w:pPr>
      <w:r>
        <w:rPr>
          <w:rFonts w:ascii="Calibri" w:hAnsi="Calibri" w:eastAsia="Microsoft YaHei"/>
          <w:b w:val="0"/>
          <w:i w:val="0"/>
          <w:sz w:val="22"/>
        </w:rPr>
        <w:t>方法：逐通道选择 ARMA、ARIMA、SARIMA、ARFIMA 等均值模型；必要时叠加 GARCH 条件方差标准化。</w:t>
      </w:r>
    </w:p>
    <w:p>
      <w:pPr>
        <w:pStyle w:val="Heading2"/>
      </w:pPr>
      <w:r>
        <w:t>步骤 8：白化模型准入准则</w:t>
      </w:r>
    </w:p>
    <w:p>
      <w:pPr>
        <w:spacing w:after="40" w:line="264" w:lineRule="auto"/>
      </w:pPr>
      <w:r>
        <w:rPr>
          <w:rFonts w:ascii="Calibri" w:hAnsi="Calibri" w:eastAsia="Microsoft YaHei"/>
          <w:b/>
          <w:i w:val="0"/>
          <w:color w:val="58606E"/>
          <w:sz w:val="20"/>
        </w:rPr>
        <w:t>英文术语：Whitening Model Acceptance Criterion</w:t>
      </w:r>
    </w:p>
    <w:p>
      <w:pPr>
        <w:spacing w:line="264" w:lineRule="auto"/>
      </w:pPr>
      <w:r>
        <w:rPr>
          <w:rFonts w:ascii="Calibri" w:hAnsi="Calibri" w:eastAsia="Microsoft YaHei"/>
          <w:b w:val="0"/>
          <w:i w:val="0"/>
          <w:sz w:val="22"/>
        </w:rPr>
        <w:t>目的：防止失败白化模型被误发布为有效创新。</w:t>
      </w:r>
    </w:p>
    <w:p>
      <w:pPr>
        <w:spacing w:line="264" w:lineRule="auto"/>
      </w:pPr>
      <w:r>
        <w:rPr>
          <w:rFonts w:ascii="Calibri" w:hAnsi="Calibri" w:eastAsia="Microsoft YaHei"/>
          <w:b w:val="0"/>
          <w:i w:val="0"/>
          <w:sz w:val="22"/>
        </w:rPr>
        <w:t>方法：检查平稳/可逆、窗口化 Ljung-Box 通过率、lag-1 ACF、创新方差比等指标；未通过时转为稳健标准化残差路径。</w:t>
      </w:r>
    </w:p>
    <w:p>
      <w:pPr>
        <w:pStyle w:val="Heading2"/>
      </w:pPr>
      <w:r>
        <w:t>步骤 9：白化有效性元数据路由</w:t>
      </w:r>
    </w:p>
    <w:p>
      <w:pPr>
        <w:spacing w:after="40" w:line="264" w:lineRule="auto"/>
      </w:pPr>
      <w:r>
        <w:rPr>
          <w:rFonts w:ascii="Calibri" w:hAnsi="Calibri" w:eastAsia="Microsoft YaHei"/>
          <w:b/>
          <w:i w:val="0"/>
          <w:color w:val="58606E"/>
          <w:sz w:val="20"/>
        </w:rPr>
        <w:t>英文术语：Whitening-validity Metadata Routing</w:t>
      </w:r>
    </w:p>
    <w:p>
      <w:pPr>
        <w:spacing w:line="264" w:lineRule="auto"/>
      </w:pPr>
      <w:r>
        <w:rPr>
          <w:rFonts w:ascii="Calibri" w:hAnsi="Calibri" w:eastAsia="Microsoft YaHei"/>
          <w:b w:val="0"/>
          <w:i w:val="0"/>
          <w:sz w:val="22"/>
        </w:rPr>
        <w:t>目的：向下游说明每个通道的输出是否为真实白化创新。</w:t>
      </w:r>
    </w:p>
    <w:p>
      <w:pPr>
        <w:spacing w:line="264" w:lineRule="auto"/>
      </w:pPr>
      <w:r>
        <w:rPr>
          <w:rFonts w:ascii="Calibri" w:hAnsi="Calibri" w:eastAsia="Microsoft YaHei"/>
          <w:b w:val="0"/>
          <w:i w:val="0"/>
          <w:sz w:val="22"/>
        </w:rPr>
        <w:t>方法：生成 whiteness_manifest，对每个通道标注 whitened、innov_kind、scoring_mode 与 n_eff_ratio。</w:t>
      </w:r>
    </w:p>
    <w:p>
      <w:pPr>
        <w:pStyle w:val="Heading1"/>
      </w:pPr>
      <w:r>
        <w:t>五、关键方法原理与公式解释</w:t>
      </w:r>
    </w:p>
    <w:p>
      <w:pPr>
        <w:pStyle w:val="Heading2"/>
      </w:pPr>
      <w:r>
        <w:t>5.1 Fourier 自适应谐波与阶数选择</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s_H(t) = Σ_{P∈P_k} Σ_{j=1}^{J_k} [a_{P,j} cos(2πjt/P) + b_{P,j} sin(2πjt/P)]</w:t>
            </w:r>
          </w:p>
          <w:p>
            <w:pPr>
              <w:spacing w:after="0" w:line="259" w:lineRule="auto"/>
            </w:pPr>
            <w:r>
              <w:rPr>
                <w:rFonts w:ascii="Calibri" w:hAnsi="Calibri" w:eastAsia="Microsoft YaHei"/>
                <w:color w:val="58606E"/>
                <w:sz w:val="18"/>
              </w:rPr>
              <w:t>P_k 为候选周期集合，J_k 为逐通道选择的谐波阶数；a 与 b 通过最小二乘估计。</w:t>
            </w:r>
          </w:p>
        </w:tc>
      </w:tr>
    </w:tbl>
    <w:p>
      <w:pPr>
        <w:spacing w:line="264" w:lineRule="auto"/>
      </w:pPr>
      <w:r>
        <w:rPr>
          <w:rFonts w:ascii="Calibri" w:hAnsi="Calibri" w:eastAsia="Microsoft YaHei"/>
          <w:b w:val="0"/>
          <w:i w:val="0"/>
          <w:sz w:val="22"/>
        </w:rPr>
        <w:t>AIC、BIC 与嵌套 F 检验共同用于选阶。AIC 偏向预测性能，允许更复杂模型；BIC 对模型复杂度惩罚更强，更偏保守；嵌套 F 检验用于判断新增谐波阶是否显著降低残差平方和。三者结合可以减少欠拟合和过拟合的风险。</w:t>
      </w:r>
    </w:p>
    <w:tbl>
      <w:tblPr>
        <w:tblStyle w:val="TableGrid"/>
        <w:tblW w:type="dxa" w:w="9360"/>
        <w:jc w:val="left"/>
        <w:tblLayout w:type="fixed"/>
        <w:tblLook w:firstColumn="1" w:firstRow="1" w:lastColumn="0" w:lastRow="0" w:noHBand="0" w:noVBand="1" w:val="04A0"/>
        <w:tblInd w:w="120" w:type="dxa"/>
      </w:tblPr>
      <w:tblGrid>
        <w:gridCol w:w="1050"/>
        <w:gridCol w:w="2550"/>
        <w:gridCol w:w="2500"/>
        <w:gridCol w:w="3260"/>
      </w:tblGrid>
      <w:tr>
        <w:tc>
          <w:tcPr>
            <w:tcW w:type="dxa" w:w="1050"/>
            <w:shd w:fill="F2F4F7"/>
            <w:vAlign w:val="center"/>
            <w:tcMar>
              <w:top w:w="80" w:type="dxa"/>
              <w:start w:w="120" w:type="dxa"/>
              <w:bottom w:w="80" w:type="dxa"/>
              <w:end w:w="120" w:type="dxa"/>
            </w:tcMar>
          </w:tcPr>
          <w:p>
            <w:pPr>
              <w:spacing w:after="0"/>
            </w:pPr>
            <w:r>
              <w:rPr>
                <w:rFonts w:ascii="Calibri" w:hAnsi="Calibri" w:eastAsia="Microsoft YaHei"/>
                <w:b/>
                <w:color w:val="141F2B"/>
                <w:sz w:val="16"/>
              </w:rPr>
              <w:t>术语</w:t>
            </w:r>
          </w:p>
        </w:tc>
        <w:tc>
          <w:tcPr>
            <w:tcW w:type="dxa" w:w="2550"/>
            <w:shd w:fill="F2F4F7"/>
            <w:vAlign w:val="center"/>
            <w:tcMar>
              <w:top w:w="80" w:type="dxa"/>
              <w:start w:w="120" w:type="dxa"/>
              <w:bottom w:w="80" w:type="dxa"/>
              <w:end w:w="120" w:type="dxa"/>
            </w:tcMar>
          </w:tcPr>
          <w:p>
            <w:pPr>
              <w:spacing w:after="0"/>
            </w:pPr>
            <w:r>
              <w:rPr>
                <w:rFonts w:ascii="Calibri" w:hAnsi="Calibri" w:eastAsia="Microsoft YaHei"/>
                <w:b/>
                <w:color w:val="141F2B"/>
                <w:sz w:val="16"/>
              </w:rPr>
              <w:t>英文全称</w:t>
            </w:r>
          </w:p>
        </w:tc>
        <w:tc>
          <w:tcPr>
            <w:tcW w:type="dxa" w:w="2500"/>
            <w:shd w:fill="F2F4F7"/>
            <w:vAlign w:val="center"/>
            <w:tcMar>
              <w:top w:w="80" w:type="dxa"/>
              <w:start w:w="120" w:type="dxa"/>
              <w:bottom w:w="80" w:type="dxa"/>
              <w:end w:w="120" w:type="dxa"/>
            </w:tcMar>
          </w:tcPr>
          <w:p>
            <w:pPr>
              <w:spacing w:after="0"/>
            </w:pPr>
            <w:r>
              <w:rPr>
                <w:rFonts w:ascii="Calibri" w:hAnsi="Calibri" w:eastAsia="Microsoft YaHei"/>
                <w:b/>
                <w:color w:val="141F2B"/>
                <w:sz w:val="16"/>
              </w:rPr>
              <w:t>公式/判据</w:t>
            </w:r>
          </w:p>
        </w:tc>
        <w:tc>
          <w:tcPr>
            <w:tcW w:type="dxa" w:w="3260"/>
            <w:shd w:fill="F2F4F7"/>
            <w:vAlign w:val="center"/>
            <w:tcMar>
              <w:top w:w="80" w:type="dxa"/>
              <w:start w:w="120" w:type="dxa"/>
              <w:bottom w:w="80" w:type="dxa"/>
              <w:end w:w="120" w:type="dxa"/>
            </w:tcMar>
          </w:tcPr>
          <w:p>
            <w:pPr>
              <w:spacing w:after="0"/>
            </w:pPr>
            <w:r>
              <w:rPr>
                <w:rFonts w:ascii="Calibri" w:hAnsi="Calibri" w:eastAsia="Microsoft YaHei"/>
                <w:b/>
                <w:color w:val="141F2B"/>
                <w:sz w:val="16"/>
              </w:rPr>
              <w:t>本项目作用</w:t>
            </w:r>
          </w:p>
        </w:tc>
      </w:tr>
      <w:tr>
        <w:tc>
          <w:tcPr>
            <w:tcW w:type="dxa" w:w="1050"/>
            <w:vAlign w:val="center"/>
            <w:tcMar>
              <w:top w:w="80" w:type="dxa"/>
              <w:start w:w="120" w:type="dxa"/>
              <w:bottom w:w="80" w:type="dxa"/>
              <w:end w:w="120" w:type="dxa"/>
            </w:tcMar>
          </w:tcPr>
          <w:p>
            <w:pPr>
              <w:spacing w:after="0" w:line="252" w:lineRule="auto"/>
            </w:pPr>
            <w:r>
              <w:rPr>
                <w:rFonts w:ascii="Calibri" w:hAnsi="Calibri" w:eastAsia="Microsoft YaHei"/>
                <w:sz w:val="16"/>
              </w:rPr>
              <w:t>AIC</w:t>
            </w:r>
          </w:p>
        </w:tc>
        <w:tc>
          <w:tcPr>
            <w:tcW w:type="dxa" w:w="2550"/>
            <w:vAlign w:val="center"/>
            <w:tcMar>
              <w:top w:w="80" w:type="dxa"/>
              <w:start w:w="120" w:type="dxa"/>
              <w:bottom w:w="80" w:type="dxa"/>
              <w:end w:w="120" w:type="dxa"/>
            </w:tcMar>
          </w:tcPr>
          <w:p>
            <w:pPr>
              <w:spacing w:after="0" w:line="252" w:lineRule="auto"/>
            </w:pPr>
            <w:r>
              <w:rPr>
                <w:rFonts w:ascii="Calibri" w:hAnsi="Calibri" w:eastAsia="Microsoft YaHei"/>
                <w:sz w:val="16"/>
              </w:rPr>
              <w:t>Akaike Information Criterion</w:t>
            </w:r>
          </w:p>
        </w:tc>
        <w:tc>
          <w:tcPr>
            <w:tcW w:type="dxa" w:w="2500"/>
            <w:vAlign w:val="center"/>
            <w:tcMar>
              <w:top w:w="80" w:type="dxa"/>
              <w:start w:w="120" w:type="dxa"/>
              <w:bottom w:w="80" w:type="dxa"/>
              <w:end w:w="120" w:type="dxa"/>
            </w:tcMar>
          </w:tcPr>
          <w:p>
            <w:pPr>
              <w:spacing w:after="0" w:line="252" w:lineRule="auto"/>
            </w:pPr>
            <w:r>
              <w:rPr>
                <w:rFonts w:ascii="Calibri" w:hAnsi="Calibri" w:eastAsia="Microsoft YaHei"/>
                <w:sz w:val="16"/>
              </w:rPr>
              <w:t>AIC = 2p - 2 ln(L)</w:t>
            </w:r>
          </w:p>
        </w:tc>
        <w:tc>
          <w:tcPr>
            <w:tcW w:type="dxa" w:w="3260"/>
            <w:vAlign w:val="center"/>
            <w:tcMar>
              <w:top w:w="80" w:type="dxa"/>
              <w:start w:w="120" w:type="dxa"/>
              <w:bottom w:w="80" w:type="dxa"/>
              <w:end w:w="120" w:type="dxa"/>
            </w:tcMar>
          </w:tcPr>
          <w:p>
            <w:pPr>
              <w:spacing w:after="0" w:line="252" w:lineRule="auto"/>
            </w:pPr>
            <w:r>
              <w:rPr>
                <w:rFonts w:ascii="Calibri" w:hAnsi="Calibri" w:eastAsia="Microsoft YaHei"/>
                <w:sz w:val="16"/>
              </w:rPr>
              <w:t>在候选谐波阶和白化模型中衡量拟合优度与复杂度。</w:t>
            </w:r>
          </w:p>
        </w:tc>
      </w:tr>
      <w:tr>
        <w:tc>
          <w:tcPr>
            <w:tcW w:type="dxa" w:w="1050"/>
            <w:vAlign w:val="center"/>
            <w:tcMar>
              <w:top w:w="80" w:type="dxa"/>
              <w:start w:w="120" w:type="dxa"/>
              <w:bottom w:w="80" w:type="dxa"/>
              <w:end w:w="120" w:type="dxa"/>
            </w:tcMar>
          </w:tcPr>
          <w:p>
            <w:pPr>
              <w:spacing w:after="0" w:line="252" w:lineRule="auto"/>
            </w:pPr>
            <w:r>
              <w:rPr>
                <w:rFonts w:ascii="Calibri" w:hAnsi="Calibri" w:eastAsia="Microsoft YaHei"/>
                <w:sz w:val="16"/>
              </w:rPr>
              <w:t>BIC</w:t>
            </w:r>
          </w:p>
        </w:tc>
        <w:tc>
          <w:tcPr>
            <w:tcW w:type="dxa" w:w="2550"/>
            <w:vAlign w:val="center"/>
            <w:tcMar>
              <w:top w:w="80" w:type="dxa"/>
              <w:start w:w="120" w:type="dxa"/>
              <w:bottom w:w="80" w:type="dxa"/>
              <w:end w:w="120" w:type="dxa"/>
            </w:tcMar>
          </w:tcPr>
          <w:p>
            <w:pPr>
              <w:spacing w:after="0" w:line="252" w:lineRule="auto"/>
            </w:pPr>
            <w:r>
              <w:rPr>
                <w:rFonts w:ascii="Calibri" w:hAnsi="Calibri" w:eastAsia="Microsoft YaHei"/>
                <w:sz w:val="16"/>
              </w:rPr>
              <w:t>Bayesian Information Criterion</w:t>
            </w:r>
          </w:p>
        </w:tc>
        <w:tc>
          <w:tcPr>
            <w:tcW w:type="dxa" w:w="2500"/>
            <w:vAlign w:val="center"/>
            <w:tcMar>
              <w:top w:w="80" w:type="dxa"/>
              <w:start w:w="120" w:type="dxa"/>
              <w:bottom w:w="80" w:type="dxa"/>
              <w:end w:w="120" w:type="dxa"/>
            </w:tcMar>
          </w:tcPr>
          <w:p>
            <w:pPr>
              <w:spacing w:after="0" w:line="252" w:lineRule="auto"/>
            </w:pPr>
            <w:r>
              <w:rPr>
                <w:rFonts w:ascii="Calibri" w:hAnsi="Calibri" w:eastAsia="Microsoft YaHei"/>
                <w:sz w:val="16"/>
              </w:rPr>
              <w:t>BIC = p ln(n) - 2 ln(L)</w:t>
            </w:r>
          </w:p>
        </w:tc>
        <w:tc>
          <w:tcPr>
            <w:tcW w:type="dxa" w:w="3260"/>
            <w:vAlign w:val="center"/>
            <w:tcMar>
              <w:top w:w="80" w:type="dxa"/>
              <w:start w:w="120" w:type="dxa"/>
              <w:bottom w:w="80" w:type="dxa"/>
              <w:end w:w="120" w:type="dxa"/>
            </w:tcMar>
          </w:tcPr>
          <w:p>
            <w:pPr>
              <w:spacing w:after="0" w:line="252" w:lineRule="auto"/>
            </w:pPr>
            <w:r>
              <w:rPr>
                <w:rFonts w:ascii="Calibri" w:hAnsi="Calibri" w:eastAsia="Microsoft YaHei"/>
                <w:sz w:val="16"/>
              </w:rPr>
              <w:t>对复杂模型惩罚更强，分歧时提供保守仲裁。</w:t>
            </w:r>
          </w:p>
        </w:tc>
      </w:tr>
      <w:tr>
        <w:tc>
          <w:tcPr>
            <w:tcW w:type="dxa" w:w="1050"/>
            <w:vAlign w:val="center"/>
            <w:tcMar>
              <w:top w:w="80" w:type="dxa"/>
              <w:start w:w="120" w:type="dxa"/>
              <w:bottom w:w="80" w:type="dxa"/>
              <w:end w:w="120" w:type="dxa"/>
            </w:tcMar>
          </w:tcPr>
          <w:p>
            <w:pPr>
              <w:spacing w:after="0" w:line="252" w:lineRule="auto"/>
            </w:pPr>
            <w:r>
              <w:rPr>
                <w:rFonts w:ascii="Calibri" w:hAnsi="Calibri" w:eastAsia="Microsoft YaHei"/>
                <w:sz w:val="16"/>
              </w:rPr>
              <w:t>嵌套 F 检验</w:t>
            </w:r>
          </w:p>
        </w:tc>
        <w:tc>
          <w:tcPr>
            <w:tcW w:type="dxa" w:w="2550"/>
            <w:vAlign w:val="center"/>
            <w:tcMar>
              <w:top w:w="80" w:type="dxa"/>
              <w:start w:w="120" w:type="dxa"/>
              <w:bottom w:w="80" w:type="dxa"/>
              <w:end w:w="120" w:type="dxa"/>
            </w:tcMar>
          </w:tcPr>
          <w:p>
            <w:pPr>
              <w:spacing w:after="0" w:line="252" w:lineRule="auto"/>
            </w:pPr>
            <w:r>
              <w:rPr>
                <w:rFonts w:ascii="Calibri" w:hAnsi="Calibri" w:eastAsia="Microsoft YaHei"/>
                <w:sz w:val="16"/>
              </w:rPr>
              <w:t>Nested F-test</w:t>
            </w:r>
          </w:p>
        </w:tc>
        <w:tc>
          <w:tcPr>
            <w:tcW w:type="dxa" w:w="2500"/>
            <w:vAlign w:val="center"/>
            <w:tcMar>
              <w:top w:w="80" w:type="dxa"/>
              <w:start w:w="120" w:type="dxa"/>
              <w:bottom w:w="80" w:type="dxa"/>
              <w:end w:w="120" w:type="dxa"/>
            </w:tcMar>
          </w:tcPr>
          <w:p>
            <w:pPr>
              <w:spacing w:after="0" w:line="252" w:lineRule="auto"/>
            </w:pPr>
            <w:r>
              <w:rPr>
                <w:rFonts w:ascii="Calibri" w:hAnsi="Calibri" w:eastAsia="Microsoft YaHei"/>
                <w:sz w:val="16"/>
              </w:rPr>
              <w:t>F = [(RSS_r-RSS_f)/(df_r-df_f)] / [RSS_f/df_f]</w:t>
            </w:r>
          </w:p>
        </w:tc>
        <w:tc>
          <w:tcPr>
            <w:tcW w:type="dxa" w:w="3260"/>
            <w:vAlign w:val="center"/>
            <w:tcMar>
              <w:top w:w="80" w:type="dxa"/>
              <w:start w:w="120" w:type="dxa"/>
              <w:bottom w:w="80" w:type="dxa"/>
              <w:end w:w="120" w:type="dxa"/>
            </w:tcMar>
          </w:tcPr>
          <w:p>
            <w:pPr>
              <w:spacing w:after="0" w:line="252" w:lineRule="auto"/>
            </w:pPr>
            <w:r>
              <w:rPr>
                <w:rFonts w:ascii="Calibri" w:hAnsi="Calibri" w:eastAsia="Microsoft YaHei"/>
                <w:sz w:val="16"/>
              </w:rPr>
              <w:t>判断新增谐波阶是否带来统计显著改进。</w:t>
            </w:r>
          </w:p>
        </w:tc>
      </w:tr>
      <w:tr>
        <w:tc>
          <w:tcPr>
            <w:tcW w:type="dxa" w:w="1050"/>
            <w:vAlign w:val="center"/>
            <w:tcMar>
              <w:top w:w="80" w:type="dxa"/>
              <w:start w:w="120" w:type="dxa"/>
              <w:bottom w:w="80" w:type="dxa"/>
              <w:end w:w="120" w:type="dxa"/>
            </w:tcMar>
          </w:tcPr>
          <w:p>
            <w:pPr>
              <w:spacing w:after="0" w:line="252" w:lineRule="auto"/>
            </w:pPr>
            <w:r>
              <w:rPr>
                <w:rFonts w:ascii="Calibri" w:hAnsi="Calibri" w:eastAsia="Microsoft YaHei"/>
                <w:sz w:val="16"/>
              </w:rPr>
              <w:t>Nyquist 上限</w:t>
            </w:r>
          </w:p>
        </w:tc>
        <w:tc>
          <w:tcPr>
            <w:tcW w:type="dxa" w:w="2550"/>
            <w:vAlign w:val="center"/>
            <w:tcMar>
              <w:top w:w="80" w:type="dxa"/>
              <w:start w:w="120" w:type="dxa"/>
              <w:bottom w:w="80" w:type="dxa"/>
              <w:end w:w="120" w:type="dxa"/>
            </w:tcMar>
          </w:tcPr>
          <w:p>
            <w:pPr>
              <w:spacing w:after="0" w:line="252" w:lineRule="auto"/>
            </w:pPr>
            <w:r>
              <w:rPr>
                <w:rFonts w:ascii="Calibri" w:hAnsi="Calibri" w:eastAsia="Microsoft YaHei"/>
                <w:sz w:val="16"/>
              </w:rPr>
              <w:t>Nyquist Frequency Constraint</w:t>
            </w:r>
          </w:p>
        </w:tc>
        <w:tc>
          <w:tcPr>
            <w:tcW w:type="dxa" w:w="2500"/>
            <w:vAlign w:val="center"/>
            <w:tcMar>
              <w:top w:w="80" w:type="dxa"/>
              <w:start w:w="120" w:type="dxa"/>
              <w:bottom w:w="80" w:type="dxa"/>
              <w:end w:w="120" w:type="dxa"/>
            </w:tcMar>
          </w:tcPr>
          <w:p>
            <w:pPr>
              <w:spacing w:after="0" w:line="252" w:lineRule="auto"/>
            </w:pPr>
            <w:r>
              <w:rPr>
                <w:rFonts w:ascii="Calibri" w:hAnsi="Calibri" w:eastAsia="Microsoft YaHei"/>
                <w:sz w:val="16"/>
              </w:rPr>
              <w:t>f &lt;= 1/(2Δt)</w:t>
            </w:r>
          </w:p>
        </w:tc>
        <w:tc>
          <w:tcPr>
            <w:tcW w:type="dxa" w:w="3260"/>
            <w:vAlign w:val="center"/>
            <w:tcMar>
              <w:top w:w="80" w:type="dxa"/>
              <w:start w:w="120" w:type="dxa"/>
              <w:bottom w:w="80" w:type="dxa"/>
              <w:end w:w="120" w:type="dxa"/>
            </w:tcMar>
          </w:tcPr>
          <w:p>
            <w:pPr>
              <w:spacing w:after="0" w:line="252" w:lineRule="auto"/>
            </w:pPr>
            <w:r>
              <w:rPr>
                <w:rFonts w:ascii="Calibri" w:hAnsi="Calibri" w:eastAsia="Microsoft YaHei"/>
                <w:sz w:val="16"/>
              </w:rPr>
              <w:t>防止在给定采样间隔下拟合不可辨识的高频谐波。</w:t>
            </w:r>
          </w:p>
        </w:tc>
      </w:tr>
    </w:tbl>
    <w:p>
      <w:pPr>
        <w:spacing w:after="40"/>
      </w:pPr>
    </w:p>
    <w:p>
      <w:pPr>
        <w:pStyle w:val="Heading2"/>
      </w:pPr>
      <w:r>
        <w:t>5.2 因果趋势估计与 LOESS/LOWESS 口径</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m_k(t_i) = mean{X_k(u)-s_k(u): t_i-B_k &lt; u &lt;= t_i}</w:t>
            </w:r>
          </w:p>
          <w:p>
            <w:pPr>
              <w:spacing w:after="0" w:line="259" w:lineRule="auto"/>
            </w:pPr>
            <w:r>
              <w:rPr>
                <w:rFonts w:ascii="Calibri" w:hAnsi="Calibri" w:eastAsia="Microsoft YaHei"/>
                <w:color w:val="58606E"/>
                <w:sz w:val="18"/>
              </w:rPr>
              <w:t>当前代码实现为 causal trailing rolling mean，即后向滚动均值。方案中出现的 LOESS/LOWESS 更准确地应理解为趋势平滑思想，而非当前代码直接调用的局部回归函数。</w:t>
            </w:r>
          </w:p>
        </w:tc>
      </w:tr>
    </w:tbl>
    <w:p>
      <w:pPr>
        <w:spacing w:line="264" w:lineRule="auto"/>
      </w:pPr>
      <w:r>
        <w:rPr>
          <w:rFonts w:ascii="Calibri" w:hAnsi="Calibri" w:eastAsia="Microsoft YaHei"/>
          <w:b w:val="0"/>
          <w:i w:val="0"/>
          <w:sz w:val="22"/>
        </w:rPr>
        <w:t>LOESS/LOWESS 的完整英文分别为 Locally Estimated Scatterplot Smoothing / Locally Weighted Scatterplot Smoothing，属于局部加权回归平滑。若未来将当前后向滚动均值升级为因果 LOESS，应保持“仅使用过去窗口”的约束，以免引入未来信息泄漏。</w:t>
      </w:r>
    </w:p>
    <w:p>
      <w:pPr>
        <w:pStyle w:val="Heading2"/>
      </w:pPr>
      <w:r>
        <w:t>5.3 STL 与因果 STL 精修</w:t>
      </w:r>
    </w:p>
    <w:p>
      <w:pPr>
        <w:spacing w:line="264" w:lineRule="auto"/>
      </w:pPr>
      <w:r>
        <w:rPr>
          <w:rFonts w:ascii="Calibri" w:hAnsi="Calibri" w:eastAsia="Microsoft YaHei"/>
          <w:b w:val="0"/>
          <w:i w:val="0"/>
          <w:sz w:val="22"/>
        </w:rPr>
        <w:t>STL 的英文全称为 Seasonal-Trend decomposition using LOESS，经典 STL 通常用于离线分解，可能使用整段信息。本项目实现的是 STL-style causal seasonal refinement：按周期相位分组，仅使用过去若干周期的同相位残差均值，用于补偿谐波无法表示的非正弦周期形态。</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s_STL(t_i) = mean{e_1(t_{i-rP}): r=1,...,C}</w:t>
            </w:r>
          </w:p>
          <w:p>
            <w:pPr>
              <w:spacing w:after="0" w:line="259" w:lineRule="auto"/>
            </w:pPr>
            <w:r>
              <w:rPr>
                <w:rFonts w:ascii="Calibri" w:hAnsi="Calibri" w:eastAsia="Microsoft YaHei"/>
                <w:color w:val="58606E"/>
                <w:sz w:val="18"/>
              </w:rPr>
              <w:t>同相位 i mod P 的尾随均值；P 为日周期或检测到的亚小时周期，C 为使用的历史周期数。</w:t>
            </w:r>
          </w:p>
        </w:tc>
      </w:tr>
    </w:tbl>
    <w:p>
      <w:pPr>
        <w:pStyle w:val="Heading2"/>
      </w:pPr>
      <w:r>
        <w:t>5.4 残差谱峰显著性与分解充分性</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peak_ratio(P) = max Power(f≈1/P) / median Power(local neighbourhood excluding peak bins)</w:t>
            </w:r>
          </w:p>
          <w:p>
            <w:pPr>
              <w:spacing w:after="0" w:line="259" w:lineRule="auto"/>
            </w:pPr>
            <w:r>
              <w:rPr>
                <w:rFonts w:ascii="Calibri" w:hAnsi="Calibri" w:eastAsia="Microsoft YaHei"/>
                <w:color w:val="58606E"/>
                <w:sz w:val="18"/>
              </w:rPr>
              <w:t>若目标主周期的 peak_ratio 低于阈值 2，则认为该周期已基本从残差中剥离。</w:t>
            </w:r>
          </w:p>
        </w:tc>
      </w:tr>
    </w:tbl>
    <w:p>
      <w:pPr>
        <w:spacing w:line="264" w:lineRule="auto"/>
      </w:pPr>
      <w:r>
        <w:rPr>
          <w:rFonts w:ascii="Calibri" w:hAnsi="Calibri" w:eastAsia="Microsoft YaHei"/>
          <w:b w:val="0"/>
          <w:i w:val="0"/>
          <w:sz w:val="22"/>
        </w:rPr>
        <w:t>该判据比全局谱中位数更稳健，因为污水处理过程信号常有红噪声和近单位根滚降。局部连续谱基线可以避免把低频背景能量误判为周期残留。</w:t>
      </w:r>
    </w:p>
    <w:p>
      <w:pPr>
        <w:pStyle w:val="Heading2"/>
      </w:pPr>
      <w:r>
        <w:t>5.5 ARMA-family 与 GARCH 白化</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ARMA(p,q): e_t = c + Σ φ_i e_{t-i} + ε_t + Σ θ_j ε_{t-j}</w:t>
            </w:r>
          </w:p>
          <w:p>
            <w:pPr>
              <w:spacing w:after="0" w:line="259" w:lineRule="auto"/>
            </w:pPr>
            <w:r>
              <w:rPr>
                <w:rFonts w:ascii="Calibri" w:hAnsi="Calibri" w:eastAsia="Microsoft YaHei"/>
                <w:color w:val="58606E"/>
                <w:sz w:val="18"/>
              </w:rPr>
              <w:t>AutoRegressive Moving Average，用于平稳短记忆残差的均值相关建模。</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ARIMA(p,d,q): Φ(B)(1-B)^d e_t = Θ(B)ε_t</w:t>
            </w:r>
          </w:p>
          <w:p>
            <w:pPr>
              <w:spacing w:after="0" w:line="259" w:lineRule="auto"/>
            </w:pPr>
            <w:r>
              <w:rPr>
                <w:rFonts w:ascii="Calibri" w:hAnsi="Calibri" w:eastAsia="Microsoft YaHei"/>
                <w:color w:val="58606E"/>
                <w:sz w:val="18"/>
              </w:rPr>
              <w:t>AutoRegressive Integrated Moving Average，用于单位根或需整数差分的序列。</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SARIMA: Φ(B)Φ_s(B^s)(1-B)^d(1-B^s)^D e_t = Θ(B)Θ_s(B^s)ε_t</w:t>
            </w:r>
          </w:p>
          <w:p>
            <w:pPr>
              <w:spacing w:after="0" w:line="259" w:lineRule="auto"/>
            </w:pPr>
            <w:r>
              <w:rPr>
                <w:rFonts w:ascii="Calibri" w:hAnsi="Calibri" w:eastAsia="Microsoft YaHei"/>
                <w:color w:val="58606E"/>
                <w:sz w:val="18"/>
              </w:rPr>
              <w:t>Seasonal ARIMA，用于具有季节单位根或周期性长记忆的小时级序列。</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ARFIMA: (1-B)^d e_t = u_t, 0&lt;d&lt;0.5</w:t>
            </w:r>
          </w:p>
          <w:p>
            <w:pPr>
              <w:spacing w:after="0" w:line="259" w:lineRule="auto"/>
            </w:pPr>
            <w:r>
              <w:rPr>
                <w:rFonts w:ascii="Calibri" w:hAnsi="Calibri" w:eastAsia="Microsoft YaHei"/>
                <w:color w:val="58606E"/>
                <w:sz w:val="18"/>
              </w:rPr>
              <w:t>Autoregressive Fractionally Integrated Moving Average，用于长记忆过程；本项目采用截断分数差分候选。</w:t>
            </w:r>
          </w:p>
        </w:tc>
      </w:tr>
    </w:tbl>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BFCFE"/>
          </w:tcPr>
          <w:p>
            <w:pPr>
              <w:spacing w:after="40"/>
            </w:pPr>
            <w:r>
              <w:rPr>
                <w:rFonts w:ascii="Consolas" w:hAnsi="Consolas" w:eastAsia="Microsoft YaHei"/>
                <w:color w:val="141F2B"/>
                <w:sz w:val="19"/>
              </w:rPr>
              <w:t>GARCH(1,1): σ_t^2 = ω + α ε_{t-1}^2 + β σ_{t-1}^2,    z_t = ε_t / σ_t</w:t>
            </w:r>
          </w:p>
          <w:p>
            <w:pPr>
              <w:spacing w:after="0" w:line="259" w:lineRule="auto"/>
            </w:pPr>
            <w:r>
              <w:rPr>
                <w:rFonts w:ascii="Calibri" w:hAnsi="Calibri" w:eastAsia="Microsoft YaHei"/>
                <w:color w:val="58606E"/>
                <w:sz w:val="18"/>
              </w:rPr>
              <w:t>Generalized Autoregressive Conditional Heteroskedasticity，用于标准化条件方差，避免正常波动增强期被误报为异常。</w:t>
            </w:r>
          </w:p>
        </w:tc>
      </w:tr>
    </w:tbl>
    <w:p>
      <w:pPr>
        <w:pStyle w:val="Heading2"/>
      </w:pPr>
      <w:r>
        <w:t>5.6 统计诊断与模型准入</w:t>
      </w:r>
    </w:p>
    <w:tbl>
      <w:tblPr>
        <w:tblStyle w:val="TableGrid"/>
        <w:tblW w:type="dxa" w:w="9360"/>
        <w:jc w:val="left"/>
        <w:tblLayout w:type="fixed"/>
        <w:tblLook w:firstColumn="1" w:firstRow="1" w:lastColumn="0" w:lastRow="0" w:noHBand="0" w:noVBand="1" w:val="04A0"/>
        <w:tblInd w:w="120" w:type="dxa"/>
      </w:tblPr>
      <w:tblGrid>
        <w:gridCol w:w="900"/>
        <w:gridCol w:w="3000"/>
        <w:gridCol w:w="2050"/>
        <w:gridCol w:w="3410"/>
      </w:tblGrid>
      <w:tr>
        <w:tc>
          <w:tcPr>
            <w:tcW w:type="dxa" w:w="900"/>
            <w:shd w:fill="F2F4F7"/>
            <w:vAlign w:val="center"/>
            <w:tcMar>
              <w:top w:w="80" w:type="dxa"/>
              <w:start w:w="120" w:type="dxa"/>
              <w:bottom w:w="80" w:type="dxa"/>
              <w:end w:w="120" w:type="dxa"/>
            </w:tcMar>
          </w:tcPr>
          <w:p>
            <w:pPr>
              <w:spacing w:after="0"/>
            </w:pPr>
            <w:r>
              <w:rPr>
                <w:rFonts w:ascii="Calibri" w:hAnsi="Calibri" w:eastAsia="Microsoft YaHei"/>
                <w:b/>
                <w:color w:val="141F2B"/>
                <w:sz w:val="15"/>
              </w:rPr>
              <w:t>缩写</w:t>
            </w:r>
          </w:p>
        </w:tc>
        <w:tc>
          <w:tcPr>
            <w:tcW w:type="dxa" w:w="3000"/>
            <w:shd w:fill="F2F4F7"/>
            <w:vAlign w:val="center"/>
            <w:tcMar>
              <w:top w:w="80" w:type="dxa"/>
              <w:start w:w="120" w:type="dxa"/>
              <w:bottom w:w="80" w:type="dxa"/>
              <w:end w:w="120" w:type="dxa"/>
            </w:tcMar>
          </w:tcPr>
          <w:p>
            <w:pPr>
              <w:spacing w:after="0"/>
            </w:pPr>
            <w:r>
              <w:rPr>
                <w:rFonts w:ascii="Calibri" w:hAnsi="Calibri" w:eastAsia="Microsoft YaHei"/>
                <w:b/>
                <w:color w:val="141F2B"/>
                <w:sz w:val="15"/>
              </w:rPr>
              <w:t>英文全称</w:t>
            </w:r>
          </w:p>
        </w:tc>
        <w:tc>
          <w:tcPr>
            <w:tcW w:type="dxa" w:w="2050"/>
            <w:shd w:fill="F2F4F7"/>
            <w:vAlign w:val="center"/>
            <w:tcMar>
              <w:top w:w="80" w:type="dxa"/>
              <w:start w:w="120" w:type="dxa"/>
              <w:bottom w:w="80" w:type="dxa"/>
              <w:end w:w="120" w:type="dxa"/>
            </w:tcMar>
          </w:tcPr>
          <w:p>
            <w:pPr>
              <w:spacing w:after="0"/>
            </w:pPr>
            <w:r>
              <w:rPr>
                <w:rFonts w:ascii="Calibri" w:hAnsi="Calibri" w:eastAsia="Microsoft YaHei"/>
                <w:b/>
                <w:color w:val="141F2B"/>
                <w:sz w:val="15"/>
              </w:rPr>
              <w:t>专业中文名称</w:t>
            </w:r>
          </w:p>
        </w:tc>
        <w:tc>
          <w:tcPr>
            <w:tcW w:type="dxa" w:w="3410"/>
            <w:shd w:fill="F2F4F7"/>
            <w:vAlign w:val="center"/>
            <w:tcMar>
              <w:top w:w="80" w:type="dxa"/>
              <w:start w:w="120" w:type="dxa"/>
              <w:bottom w:w="80" w:type="dxa"/>
              <w:end w:w="120" w:type="dxa"/>
            </w:tcMar>
          </w:tcPr>
          <w:p>
            <w:pPr>
              <w:spacing w:after="0"/>
            </w:pPr>
            <w:r>
              <w:rPr>
                <w:rFonts w:ascii="Calibri" w:hAnsi="Calibri" w:eastAsia="Microsoft YaHei"/>
                <w:b/>
                <w:color w:val="141F2B"/>
                <w:sz w:val="15"/>
              </w:rPr>
              <w:t>目的与本项目用法</w:t>
            </w:r>
          </w:p>
        </w:tc>
      </w:tr>
      <w:tr>
        <w:tc>
          <w:tcPr>
            <w:tcW w:type="dxa" w:w="900"/>
            <w:vAlign w:val="center"/>
            <w:tcMar>
              <w:top w:w="80" w:type="dxa"/>
              <w:start w:w="120" w:type="dxa"/>
              <w:bottom w:w="80" w:type="dxa"/>
              <w:end w:w="120" w:type="dxa"/>
            </w:tcMar>
          </w:tcPr>
          <w:p>
            <w:pPr>
              <w:spacing w:after="0" w:line="252" w:lineRule="auto"/>
            </w:pPr>
            <w:r>
              <w:rPr>
                <w:rFonts w:ascii="Calibri" w:hAnsi="Calibri" w:eastAsia="Microsoft YaHei"/>
                <w:sz w:val="15"/>
              </w:rPr>
              <w:t>LB</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5"/>
              </w:rPr>
              <w:t>Ljung-Box Test</w:t>
            </w:r>
          </w:p>
        </w:tc>
        <w:tc>
          <w:tcPr>
            <w:tcW w:type="dxa" w:w="2050"/>
            <w:vAlign w:val="center"/>
            <w:tcMar>
              <w:top w:w="80" w:type="dxa"/>
              <w:start w:w="120" w:type="dxa"/>
              <w:bottom w:w="80" w:type="dxa"/>
              <w:end w:w="120" w:type="dxa"/>
            </w:tcMar>
          </w:tcPr>
          <w:p>
            <w:pPr>
              <w:spacing w:after="0" w:line="252" w:lineRule="auto"/>
            </w:pPr>
            <w:r>
              <w:rPr>
                <w:rFonts w:ascii="Calibri" w:hAnsi="Calibri" w:eastAsia="Microsoft YaHei"/>
                <w:sz w:val="15"/>
              </w:rPr>
              <w:t>Ljung-Box 自相关检验</w:t>
            </w:r>
          </w:p>
        </w:tc>
        <w:tc>
          <w:tcPr>
            <w:tcW w:type="dxa" w:w="3410"/>
            <w:vAlign w:val="center"/>
            <w:tcMar>
              <w:top w:w="80" w:type="dxa"/>
              <w:start w:w="120" w:type="dxa"/>
              <w:bottom w:w="80" w:type="dxa"/>
              <w:end w:w="120" w:type="dxa"/>
            </w:tcMar>
          </w:tcPr>
          <w:p>
            <w:pPr>
              <w:spacing w:after="0" w:line="252" w:lineRule="auto"/>
            </w:pPr>
            <w:r>
              <w:rPr>
                <w:rFonts w:ascii="Calibri" w:hAnsi="Calibri" w:eastAsia="Microsoft YaHei"/>
                <w:sz w:val="15"/>
              </w:rPr>
              <w:t>检验残差/创新是否仍存在整体自相关；大样本下采用窗口化通过率。</w:t>
            </w:r>
          </w:p>
        </w:tc>
      </w:tr>
      <w:tr>
        <w:tc>
          <w:tcPr>
            <w:tcW w:type="dxa" w:w="900"/>
            <w:vAlign w:val="center"/>
            <w:tcMar>
              <w:top w:w="80" w:type="dxa"/>
              <w:start w:w="120" w:type="dxa"/>
              <w:bottom w:w="80" w:type="dxa"/>
              <w:end w:w="120" w:type="dxa"/>
            </w:tcMar>
          </w:tcPr>
          <w:p>
            <w:pPr>
              <w:spacing w:after="0" w:line="252" w:lineRule="auto"/>
            </w:pPr>
            <w:r>
              <w:rPr>
                <w:rFonts w:ascii="Calibri" w:hAnsi="Calibri" w:eastAsia="Microsoft YaHei"/>
                <w:sz w:val="15"/>
              </w:rPr>
              <w:t>ADF</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5"/>
              </w:rPr>
              <w:t>Augmented Dickey-Fuller Test</w:t>
            </w:r>
          </w:p>
        </w:tc>
        <w:tc>
          <w:tcPr>
            <w:tcW w:type="dxa" w:w="2050"/>
            <w:vAlign w:val="center"/>
            <w:tcMar>
              <w:top w:w="80" w:type="dxa"/>
              <w:start w:w="120" w:type="dxa"/>
              <w:bottom w:w="80" w:type="dxa"/>
              <w:end w:w="120" w:type="dxa"/>
            </w:tcMar>
          </w:tcPr>
          <w:p>
            <w:pPr>
              <w:spacing w:after="0" w:line="252" w:lineRule="auto"/>
            </w:pPr>
            <w:r>
              <w:rPr>
                <w:rFonts w:ascii="Calibri" w:hAnsi="Calibri" w:eastAsia="Microsoft YaHei"/>
                <w:sz w:val="15"/>
              </w:rPr>
              <w:t>增广 Dickey-Fuller 单位根检验</w:t>
            </w:r>
          </w:p>
        </w:tc>
        <w:tc>
          <w:tcPr>
            <w:tcW w:type="dxa" w:w="3410"/>
            <w:vAlign w:val="center"/>
            <w:tcMar>
              <w:top w:w="80" w:type="dxa"/>
              <w:start w:w="120" w:type="dxa"/>
              <w:bottom w:w="80" w:type="dxa"/>
              <w:end w:w="120" w:type="dxa"/>
            </w:tcMar>
          </w:tcPr>
          <w:p>
            <w:pPr>
              <w:spacing w:after="0" w:line="252" w:lineRule="auto"/>
            </w:pPr>
            <w:r>
              <w:rPr>
                <w:rFonts w:ascii="Calibri" w:hAnsi="Calibri" w:eastAsia="Microsoft YaHei"/>
                <w:sz w:val="15"/>
              </w:rPr>
              <w:t>判断序列是否可拒绝单位根，用于差分候选判断。</w:t>
            </w:r>
          </w:p>
        </w:tc>
      </w:tr>
      <w:tr>
        <w:tc>
          <w:tcPr>
            <w:tcW w:type="dxa" w:w="900"/>
            <w:vAlign w:val="center"/>
            <w:tcMar>
              <w:top w:w="80" w:type="dxa"/>
              <w:start w:w="120" w:type="dxa"/>
              <w:bottom w:w="80" w:type="dxa"/>
              <w:end w:w="120" w:type="dxa"/>
            </w:tcMar>
          </w:tcPr>
          <w:p>
            <w:pPr>
              <w:spacing w:after="0" w:line="252" w:lineRule="auto"/>
            </w:pPr>
            <w:r>
              <w:rPr>
                <w:rFonts w:ascii="Calibri" w:hAnsi="Calibri" w:eastAsia="Microsoft YaHei"/>
                <w:sz w:val="15"/>
              </w:rPr>
              <w:t>KPSS</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5"/>
              </w:rPr>
              <w:t>Kwiatkowski-Phillips-Schmidt-Shin Test</w:t>
            </w:r>
          </w:p>
        </w:tc>
        <w:tc>
          <w:tcPr>
            <w:tcW w:type="dxa" w:w="2050"/>
            <w:vAlign w:val="center"/>
            <w:tcMar>
              <w:top w:w="80" w:type="dxa"/>
              <w:start w:w="120" w:type="dxa"/>
              <w:bottom w:w="80" w:type="dxa"/>
              <w:end w:w="120" w:type="dxa"/>
            </w:tcMar>
          </w:tcPr>
          <w:p>
            <w:pPr>
              <w:spacing w:after="0" w:line="252" w:lineRule="auto"/>
            </w:pPr>
            <w:r>
              <w:rPr>
                <w:rFonts w:ascii="Calibri" w:hAnsi="Calibri" w:eastAsia="Microsoft YaHei"/>
                <w:sz w:val="15"/>
              </w:rPr>
              <w:t>KPSS 平稳性检验</w:t>
            </w:r>
          </w:p>
        </w:tc>
        <w:tc>
          <w:tcPr>
            <w:tcW w:type="dxa" w:w="3410"/>
            <w:vAlign w:val="center"/>
            <w:tcMar>
              <w:top w:w="80" w:type="dxa"/>
              <w:start w:w="120" w:type="dxa"/>
              <w:bottom w:w="80" w:type="dxa"/>
              <w:end w:w="120" w:type="dxa"/>
            </w:tcMar>
          </w:tcPr>
          <w:p>
            <w:pPr>
              <w:spacing w:after="0" w:line="252" w:lineRule="auto"/>
            </w:pPr>
            <w:r>
              <w:rPr>
                <w:rFonts w:ascii="Calibri" w:hAnsi="Calibri" w:eastAsia="Microsoft YaHei"/>
                <w:sz w:val="15"/>
              </w:rPr>
              <w:t>与 ADF 互补：检验平稳性原假设是否被拒绝。</w:t>
            </w:r>
          </w:p>
        </w:tc>
      </w:tr>
      <w:tr>
        <w:tc>
          <w:tcPr>
            <w:tcW w:type="dxa" w:w="900"/>
            <w:vAlign w:val="center"/>
            <w:tcMar>
              <w:top w:w="80" w:type="dxa"/>
              <w:start w:w="120" w:type="dxa"/>
              <w:bottom w:w="80" w:type="dxa"/>
              <w:end w:w="120" w:type="dxa"/>
            </w:tcMar>
          </w:tcPr>
          <w:p>
            <w:pPr>
              <w:spacing w:after="0" w:line="252" w:lineRule="auto"/>
            </w:pPr>
            <w:r>
              <w:rPr>
                <w:rFonts w:ascii="Calibri" w:hAnsi="Calibri" w:eastAsia="Microsoft YaHei"/>
                <w:sz w:val="15"/>
              </w:rPr>
              <w:t>ARCH-LM</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5"/>
              </w:rPr>
              <w:t>Autoregressive Conditional Heteroskedasticity Lagrange Multiplier Test</w:t>
            </w:r>
          </w:p>
        </w:tc>
        <w:tc>
          <w:tcPr>
            <w:tcW w:type="dxa" w:w="2050"/>
            <w:vAlign w:val="center"/>
            <w:tcMar>
              <w:top w:w="80" w:type="dxa"/>
              <w:start w:w="120" w:type="dxa"/>
              <w:bottom w:w="80" w:type="dxa"/>
              <w:end w:w="120" w:type="dxa"/>
            </w:tcMar>
          </w:tcPr>
          <w:p>
            <w:pPr>
              <w:spacing w:after="0" w:line="252" w:lineRule="auto"/>
            </w:pPr>
            <w:r>
              <w:rPr>
                <w:rFonts w:ascii="Calibri" w:hAnsi="Calibri" w:eastAsia="Microsoft YaHei"/>
                <w:sz w:val="15"/>
              </w:rPr>
              <w:t>ARCH 拉格朗日乘子检验</w:t>
            </w:r>
          </w:p>
        </w:tc>
        <w:tc>
          <w:tcPr>
            <w:tcW w:type="dxa" w:w="3410"/>
            <w:vAlign w:val="center"/>
            <w:tcMar>
              <w:top w:w="80" w:type="dxa"/>
              <w:start w:w="120" w:type="dxa"/>
              <w:bottom w:w="80" w:type="dxa"/>
              <w:end w:w="120" w:type="dxa"/>
            </w:tcMar>
          </w:tcPr>
          <w:p>
            <w:pPr>
              <w:spacing w:after="0" w:line="252" w:lineRule="auto"/>
            </w:pPr>
            <w:r>
              <w:rPr>
                <w:rFonts w:ascii="Calibri" w:hAnsi="Calibri" w:eastAsia="Microsoft YaHei"/>
                <w:sz w:val="15"/>
              </w:rPr>
              <w:t>判断是否存在条件异方差，从而决定是否启用 GARCH。</w:t>
            </w:r>
          </w:p>
        </w:tc>
      </w:tr>
      <w:tr>
        <w:tc>
          <w:tcPr>
            <w:tcW w:type="dxa" w:w="900"/>
            <w:vAlign w:val="center"/>
            <w:tcMar>
              <w:top w:w="80" w:type="dxa"/>
              <w:start w:w="120" w:type="dxa"/>
              <w:bottom w:w="80" w:type="dxa"/>
              <w:end w:w="120" w:type="dxa"/>
            </w:tcMar>
          </w:tcPr>
          <w:p>
            <w:pPr>
              <w:spacing w:after="0" w:line="252" w:lineRule="auto"/>
            </w:pPr>
            <w:r>
              <w:rPr>
                <w:rFonts w:ascii="Calibri" w:hAnsi="Calibri" w:eastAsia="Microsoft YaHei"/>
                <w:sz w:val="15"/>
              </w:rPr>
              <w:t>ACF</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5"/>
              </w:rPr>
              <w:t>Autocorrelation Function</w:t>
            </w:r>
          </w:p>
        </w:tc>
        <w:tc>
          <w:tcPr>
            <w:tcW w:type="dxa" w:w="2050"/>
            <w:vAlign w:val="center"/>
            <w:tcMar>
              <w:top w:w="80" w:type="dxa"/>
              <w:start w:w="120" w:type="dxa"/>
              <w:bottom w:w="80" w:type="dxa"/>
              <w:end w:w="120" w:type="dxa"/>
            </w:tcMar>
          </w:tcPr>
          <w:p>
            <w:pPr>
              <w:spacing w:after="0" w:line="252" w:lineRule="auto"/>
            </w:pPr>
            <w:r>
              <w:rPr>
                <w:rFonts w:ascii="Calibri" w:hAnsi="Calibri" w:eastAsia="Microsoft YaHei"/>
                <w:sz w:val="15"/>
              </w:rPr>
              <w:t>自相关函数</w:t>
            </w:r>
          </w:p>
        </w:tc>
        <w:tc>
          <w:tcPr>
            <w:tcW w:type="dxa" w:w="3410"/>
            <w:vAlign w:val="center"/>
            <w:tcMar>
              <w:top w:w="80" w:type="dxa"/>
              <w:start w:w="120" w:type="dxa"/>
              <w:bottom w:w="80" w:type="dxa"/>
              <w:end w:w="120" w:type="dxa"/>
            </w:tcMar>
          </w:tcPr>
          <w:p>
            <w:pPr>
              <w:spacing w:after="0" w:line="252" w:lineRule="auto"/>
            </w:pPr>
            <w:r>
              <w:rPr>
                <w:rFonts w:ascii="Calibri" w:hAnsi="Calibri" w:eastAsia="Microsoft YaHei"/>
                <w:sz w:val="15"/>
              </w:rPr>
              <w:t>衡量各滞后下相关性；|ACF(1)| 是接受门核心指标之一。</w:t>
            </w:r>
          </w:p>
        </w:tc>
      </w:tr>
      <w:tr>
        <w:tc>
          <w:tcPr>
            <w:tcW w:type="dxa" w:w="900"/>
            <w:vAlign w:val="center"/>
            <w:tcMar>
              <w:top w:w="80" w:type="dxa"/>
              <w:start w:w="120" w:type="dxa"/>
              <w:bottom w:w="80" w:type="dxa"/>
              <w:end w:w="120" w:type="dxa"/>
            </w:tcMar>
          </w:tcPr>
          <w:p>
            <w:pPr>
              <w:spacing w:after="0" w:line="252" w:lineRule="auto"/>
            </w:pPr>
            <w:r>
              <w:rPr>
                <w:rFonts w:ascii="Calibri" w:hAnsi="Calibri" w:eastAsia="Microsoft YaHei"/>
                <w:sz w:val="15"/>
              </w:rPr>
              <w:t>PACF</w:t>
            </w:r>
          </w:p>
        </w:tc>
        <w:tc>
          <w:tcPr>
            <w:tcW w:type="dxa" w:w="3000"/>
            <w:vAlign w:val="center"/>
            <w:tcMar>
              <w:top w:w="80" w:type="dxa"/>
              <w:start w:w="120" w:type="dxa"/>
              <w:bottom w:w="80" w:type="dxa"/>
              <w:end w:w="120" w:type="dxa"/>
            </w:tcMar>
          </w:tcPr>
          <w:p>
            <w:pPr>
              <w:spacing w:after="0" w:line="252" w:lineRule="auto"/>
            </w:pPr>
            <w:r>
              <w:rPr>
                <w:rFonts w:ascii="Calibri" w:hAnsi="Calibri" w:eastAsia="Microsoft YaHei"/>
                <w:sz w:val="15"/>
              </w:rPr>
              <w:t>Partial Autocorrelation Function</w:t>
            </w:r>
          </w:p>
        </w:tc>
        <w:tc>
          <w:tcPr>
            <w:tcW w:type="dxa" w:w="2050"/>
            <w:vAlign w:val="center"/>
            <w:tcMar>
              <w:top w:w="80" w:type="dxa"/>
              <w:start w:w="120" w:type="dxa"/>
              <w:bottom w:w="80" w:type="dxa"/>
              <w:end w:w="120" w:type="dxa"/>
            </w:tcMar>
          </w:tcPr>
          <w:p>
            <w:pPr>
              <w:spacing w:after="0" w:line="252" w:lineRule="auto"/>
            </w:pPr>
            <w:r>
              <w:rPr>
                <w:rFonts w:ascii="Calibri" w:hAnsi="Calibri" w:eastAsia="Microsoft YaHei"/>
                <w:sz w:val="15"/>
              </w:rPr>
              <w:t>偏自相关函数</w:t>
            </w:r>
          </w:p>
        </w:tc>
        <w:tc>
          <w:tcPr>
            <w:tcW w:type="dxa" w:w="3410"/>
            <w:vAlign w:val="center"/>
            <w:tcMar>
              <w:top w:w="80" w:type="dxa"/>
              <w:start w:w="120" w:type="dxa"/>
              <w:bottom w:w="80" w:type="dxa"/>
              <w:end w:w="120" w:type="dxa"/>
            </w:tcMar>
          </w:tcPr>
          <w:p>
            <w:pPr>
              <w:spacing w:after="0" w:line="252" w:lineRule="auto"/>
            </w:pPr>
            <w:r>
              <w:rPr>
                <w:rFonts w:ascii="Calibri" w:hAnsi="Calibri" w:eastAsia="Microsoft YaHei"/>
                <w:sz w:val="15"/>
              </w:rPr>
              <w:t>辅助识别 AR 阶数和近单位根结构。</w:t>
            </w:r>
          </w:p>
        </w:tc>
      </w:tr>
    </w:tbl>
    <w:p>
      <w:pPr>
        <w:spacing w:after="40"/>
      </w:pPr>
    </w:p>
    <w:p>
      <w:pPr>
        <w:pStyle w:val="Heading1"/>
      </w:pPr>
      <w:r>
        <w:t>六、特殊路径：截尾、近零地板与稳健标准化</w:t>
      </w:r>
    </w:p>
    <w:p>
      <w:pPr>
        <w:spacing w:line="264" w:lineRule="auto"/>
      </w:pPr>
      <w:r>
        <w:rPr>
          <w:rFonts w:ascii="Calibri" w:hAnsi="Calibri" w:eastAsia="Microsoft YaHei"/>
          <w:b w:val="0"/>
          <w:i w:val="0"/>
          <w:sz w:val="22"/>
        </w:rPr>
        <w:t>后缺氧 DO 和部分出水指标具有近零地板或近检测限截尾特征。若强行用普通 ARMA 模型白化，会把物理截尾或仪表冻结伪装成统计白噪声。因此项目设置 floor/freeze regime 与 censoring-aware standardized residual。</w:t>
      </w:r>
    </w:p>
    <w:tbl>
      <w:tblPr>
        <w:tblStyle w:val="TableGrid"/>
        <w:tblW w:type="dxa" w:w="9360"/>
        <w:jc w:val="left"/>
        <w:tblLayout w:type="fixed"/>
        <w:tblLook w:firstColumn="1" w:firstRow="1" w:lastColumn="0" w:lastRow="0" w:noHBand="0" w:noVBand="1" w:val="04A0"/>
        <w:tblInd w:w="120" w:type="dxa"/>
      </w:tblPr>
      <w:tblGrid>
        <w:gridCol w:w="1350"/>
        <w:gridCol w:w="2100"/>
        <w:gridCol w:w="3050"/>
        <w:gridCol w:w="2860"/>
      </w:tblGrid>
      <w:tr>
        <w:tc>
          <w:tcPr>
            <w:tcW w:type="dxa" w:w="1350"/>
            <w:shd w:fill="F2F4F7"/>
            <w:vAlign w:val="center"/>
            <w:tcMar>
              <w:top w:w="80" w:type="dxa"/>
              <w:start w:w="120" w:type="dxa"/>
              <w:bottom w:w="80" w:type="dxa"/>
              <w:end w:w="120" w:type="dxa"/>
            </w:tcMar>
          </w:tcPr>
          <w:p>
            <w:pPr>
              <w:spacing w:after="0"/>
            </w:pPr>
            <w:r>
              <w:rPr>
                <w:rFonts w:ascii="Calibri" w:hAnsi="Calibri" w:eastAsia="Microsoft YaHei"/>
                <w:b/>
                <w:color w:val="141F2B"/>
                <w:sz w:val="16"/>
              </w:rPr>
              <w:t>路径</w:t>
            </w:r>
          </w:p>
        </w:tc>
        <w:tc>
          <w:tcPr>
            <w:tcW w:type="dxa" w:w="2100"/>
            <w:shd w:fill="F2F4F7"/>
            <w:vAlign w:val="center"/>
            <w:tcMar>
              <w:top w:w="80" w:type="dxa"/>
              <w:start w:w="120" w:type="dxa"/>
              <w:bottom w:w="80" w:type="dxa"/>
              <w:end w:w="120" w:type="dxa"/>
            </w:tcMar>
          </w:tcPr>
          <w:p>
            <w:pPr>
              <w:spacing w:after="0"/>
            </w:pPr>
            <w:r>
              <w:rPr>
                <w:rFonts w:ascii="Calibri" w:hAnsi="Calibri" w:eastAsia="Microsoft YaHei"/>
                <w:b/>
                <w:color w:val="141F2B"/>
                <w:sz w:val="16"/>
              </w:rPr>
              <w:t>专业中文名</w:t>
            </w:r>
          </w:p>
        </w:tc>
        <w:tc>
          <w:tcPr>
            <w:tcW w:type="dxa" w:w="3050"/>
            <w:shd w:fill="F2F4F7"/>
            <w:vAlign w:val="center"/>
            <w:tcMar>
              <w:top w:w="80" w:type="dxa"/>
              <w:start w:w="120" w:type="dxa"/>
              <w:bottom w:w="80" w:type="dxa"/>
              <w:end w:w="120" w:type="dxa"/>
            </w:tcMar>
          </w:tcPr>
          <w:p>
            <w:pPr>
              <w:spacing w:after="0"/>
            </w:pPr>
            <w:r>
              <w:rPr>
                <w:rFonts w:ascii="Calibri" w:hAnsi="Calibri" w:eastAsia="Microsoft YaHei"/>
                <w:b/>
                <w:color w:val="141F2B"/>
                <w:sz w:val="16"/>
              </w:rPr>
              <w:t>Professional English</w:t>
            </w:r>
          </w:p>
        </w:tc>
        <w:tc>
          <w:tcPr>
            <w:tcW w:type="dxa" w:w="2860"/>
            <w:shd w:fill="F2F4F7"/>
            <w:vAlign w:val="center"/>
            <w:tcMar>
              <w:top w:w="80" w:type="dxa"/>
              <w:start w:w="120" w:type="dxa"/>
              <w:bottom w:w="80" w:type="dxa"/>
              <w:end w:w="120" w:type="dxa"/>
            </w:tcMar>
          </w:tcPr>
          <w:p>
            <w:pPr>
              <w:spacing w:after="0"/>
            </w:pPr>
            <w:r>
              <w:rPr>
                <w:rFonts w:ascii="Calibri" w:hAnsi="Calibri" w:eastAsia="Microsoft YaHei"/>
                <w:b/>
                <w:color w:val="141F2B"/>
                <w:sz w:val="16"/>
              </w:rPr>
              <w:t>目的</w:t>
            </w:r>
          </w:p>
        </w:tc>
      </w:tr>
      <w:tr>
        <w:tc>
          <w:tcPr>
            <w:tcW w:type="dxa" w:w="1350"/>
            <w:vAlign w:val="center"/>
            <w:tcMar>
              <w:top w:w="80" w:type="dxa"/>
              <w:start w:w="120" w:type="dxa"/>
              <w:bottom w:w="80" w:type="dxa"/>
              <w:end w:w="120" w:type="dxa"/>
            </w:tcMar>
          </w:tcPr>
          <w:p>
            <w:pPr>
              <w:spacing w:after="0" w:line="252" w:lineRule="auto"/>
            </w:pPr>
            <w:r>
              <w:rPr>
                <w:rFonts w:ascii="Calibri" w:hAnsi="Calibri" w:eastAsia="Microsoft YaHei"/>
                <w:sz w:val="16"/>
              </w:rPr>
              <w:t>robust_z</w:t>
            </w:r>
          </w:p>
        </w:tc>
        <w:tc>
          <w:tcPr>
            <w:tcW w:type="dxa" w:w="2100"/>
            <w:vAlign w:val="center"/>
            <w:tcMar>
              <w:top w:w="80" w:type="dxa"/>
              <w:start w:w="120" w:type="dxa"/>
              <w:bottom w:w="80" w:type="dxa"/>
              <w:end w:w="120" w:type="dxa"/>
            </w:tcMar>
          </w:tcPr>
          <w:p>
            <w:pPr>
              <w:spacing w:after="0" w:line="252" w:lineRule="auto"/>
            </w:pPr>
            <w:r>
              <w:rPr>
                <w:rFonts w:ascii="Calibri" w:hAnsi="Calibri" w:eastAsia="Microsoft YaHei"/>
                <w:sz w:val="16"/>
              </w:rPr>
              <w:t>稳健标准化残差</w:t>
            </w:r>
          </w:p>
        </w:tc>
        <w:tc>
          <w:tcPr>
            <w:tcW w:type="dxa" w:w="3050"/>
            <w:vAlign w:val="center"/>
            <w:tcMar>
              <w:top w:w="80" w:type="dxa"/>
              <w:start w:w="120" w:type="dxa"/>
              <w:bottom w:w="80" w:type="dxa"/>
              <w:end w:w="120" w:type="dxa"/>
            </w:tcMar>
          </w:tcPr>
          <w:p>
            <w:pPr>
              <w:spacing w:after="0" w:line="252" w:lineRule="auto"/>
            </w:pPr>
            <w:r>
              <w:rPr>
                <w:rFonts w:ascii="Calibri" w:hAnsi="Calibri" w:eastAsia="Microsoft YaHei"/>
                <w:sz w:val="16"/>
              </w:rPr>
              <w:t>Robust Standardized Residual</w:t>
            </w:r>
          </w:p>
        </w:tc>
        <w:tc>
          <w:tcPr>
            <w:tcW w:type="dxa" w:w="2860"/>
            <w:vAlign w:val="center"/>
            <w:tcMar>
              <w:top w:w="80" w:type="dxa"/>
              <w:start w:w="120" w:type="dxa"/>
              <w:bottom w:w="80" w:type="dxa"/>
              <w:end w:w="120" w:type="dxa"/>
            </w:tcMar>
          </w:tcPr>
          <w:p>
            <w:pPr>
              <w:spacing w:after="0" w:line="252" w:lineRule="auto"/>
            </w:pPr>
            <w:r>
              <w:rPr>
                <w:rFonts w:ascii="Calibri" w:hAnsi="Calibri" w:eastAsia="Microsoft YaHei"/>
                <w:sz w:val="16"/>
              </w:rPr>
              <w:t>使用中位数和 MAD 标准化，保留异常幅度但不声称白化成功。</w:t>
            </w:r>
          </w:p>
        </w:tc>
      </w:tr>
      <w:tr>
        <w:tc>
          <w:tcPr>
            <w:tcW w:type="dxa" w:w="1350"/>
            <w:vAlign w:val="center"/>
            <w:tcMar>
              <w:top w:w="80" w:type="dxa"/>
              <w:start w:w="120" w:type="dxa"/>
              <w:bottom w:w="80" w:type="dxa"/>
              <w:end w:w="120" w:type="dxa"/>
            </w:tcMar>
          </w:tcPr>
          <w:p>
            <w:pPr>
              <w:spacing w:after="0" w:line="252" w:lineRule="auto"/>
            </w:pPr>
            <w:r>
              <w:rPr>
                <w:rFonts w:ascii="Calibri" w:hAnsi="Calibri" w:eastAsia="Microsoft YaHei"/>
                <w:sz w:val="16"/>
              </w:rPr>
              <w:t>censored_z</w:t>
            </w:r>
          </w:p>
        </w:tc>
        <w:tc>
          <w:tcPr>
            <w:tcW w:type="dxa" w:w="2100"/>
            <w:vAlign w:val="center"/>
            <w:tcMar>
              <w:top w:w="80" w:type="dxa"/>
              <w:start w:w="120" w:type="dxa"/>
              <w:bottom w:w="80" w:type="dxa"/>
              <w:end w:w="120" w:type="dxa"/>
            </w:tcMar>
          </w:tcPr>
          <w:p>
            <w:pPr>
              <w:spacing w:after="0" w:line="252" w:lineRule="auto"/>
            </w:pPr>
            <w:r>
              <w:rPr>
                <w:rFonts w:ascii="Calibri" w:hAnsi="Calibri" w:eastAsia="Microsoft YaHei"/>
                <w:sz w:val="16"/>
              </w:rPr>
              <w:t>截尾感知标准化残差</w:t>
            </w:r>
          </w:p>
        </w:tc>
        <w:tc>
          <w:tcPr>
            <w:tcW w:type="dxa" w:w="3050"/>
            <w:vAlign w:val="center"/>
            <w:tcMar>
              <w:top w:w="80" w:type="dxa"/>
              <w:start w:w="120" w:type="dxa"/>
              <w:bottom w:w="80" w:type="dxa"/>
              <w:end w:w="120" w:type="dxa"/>
            </w:tcMar>
          </w:tcPr>
          <w:p>
            <w:pPr>
              <w:spacing w:after="0" w:line="252" w:lineRule="auto"/>
            </w:pPr>
            <w:r>
              <w:rPr>
                <w:rFonts w:ascii="Calibri" w:hAnsi="Calibri" w:eastAsia="Microsoft YaHei"/>
                <w:sz w:val="16"/>
              </w:rPr>
              <w:t>Censoring-aware Standardized Residual</w:t>
            </w:r>
          </w:p>
        </w:tc>
        <w:tc>
          <w:tcPr>
            <w:tcW w:type="dxa" w:w="2860"/>
            <w:vAlign w:val="center"/>
            <w:tcMar>
              <w:top w:w="80" w:type="dxa"/>
              <w:start w:w="120" w:type="dxa"/>
              <w:bottom w:w="80" w:type="dxa"/>
              <w:end w:w="120" w:type="dxa"/>
            </w:tcMar>
          </w:tcPr>
          <w:p>
            <w:pPr>
              <w:spacing w:after="0" w:line="252" w:lineRule="auto"/>
            </w:pPr>
            <w:r>
              <w:rPr>
                <w:rFonts w:ascii="Calibri" w:hAnsi="Calibri" w:eastAsia="Microsoft YaHei"/>
                <w:sz w:val="16"/>
              </w:rPr>
              <w:t>针对近检测限/贴地板样本，避免截尾污染白化证据。</w:t>
            </w:r>
          </w:p>
        </w:tc>
      </w:tr>
      <w:tr>
        <w:tc>
          <w:tcPr>
            <w:tcW w:type="dxa" w:w="1350"/>
            <w:vAlign w:val="center"/>
            <w:tcMar>
              <w:top w:w="80" w:type="dxa"/>
              <w:start w:w="120" w:type="dxa"/>
              <w:bottom w:w="80" w:type="dxa"/>
              <w:end w:w="120" w:type="dxa"/>
            </w:tcMar>
          </w:tcPr>
          <w:p>
            <w:pPr>
              <w:spacing w:after="0" w:line="252" w:lineRule="auto"/>
            </w:pPr>
            <w:r>
              <w:rPr>
                <w:rFonts w:ascii="Calibri" w:hAnsi="Calibri" w:eastAsia="Microsoft YaHei"/>
                <w:sz w:val="16"/>
              </w:rPr>
              <w:t>floor_freeze</w:t>
            </w:r>
          </w:p>
        </w:tc>
        <w:tc>
          <w:tcPr>
            <w:tcW w:type="dxa" w:w="2100"/>
            <w:vAlign w:val="center"/>
            <w:tcMar>
              <w:top w:w="80" w:type="dxa"/>
              <w:start w:w="120" w:type="dxa"/>
              <w:bottom w:w="80" w:type="dxa"/>
              <w:end w:w="120" w:type="dxa"/>
            </w:tcMar>
          </w:tcPr>
          <w:p>
            <w:pPr>
              <w:spacing w:after="0" w:line="252" w:lineRule="auto"/>
            </w:pPr>
            <w:r>
              <w:rPr>
                <w:rFonts w:ascii="Calibri" w:hAnsi="Calibri" w:eastAsia="Microsoft YaHei"/>
                <w:sz w:val="16"/>
              </w:rPr>
              <w:t>地板/冻结状态路径</w:t>
            </w:r>
          </w:p>
        </w:tc>
        <w:tc>
          <w:tcPr>
            <w:tcW w:type="dxa" w:w="3050"/>
            <w:vAlign w:val="center"/>
            <w:tcMar>
              <w:top w:w="80" w:type="dxa"/>
              <w:start w:w="120" w:type="dxa"/>
              <w:bottom w:w="80" w:type="dxa"/>
              <w:end w:w="120" w:type="dxa"/>
            </w:tcMar>
          </w:tcPr>
          <w:p>
            <w:pPr>
              <w:spacing w:after="0" w:line="252" w:lineRule="auto"/>
            </w:pPr>
            <w:r>
              <w:rPr>
                <w:rFonts w:ascii="Calibri" w:hAnsi="Calibri" w:eastAsia="Microsoft YaHei"/>
                <w:sz w:val="16"/>
              </w:rPr>
              <w:t>Floor/Freeze Regime</w:t>
            </w:r>
          </w:p>
        </w:tc>
        <w:tc>
          <w:tcPr>
            <w:tcW w:type="dxa" w:w="2860"/>
            <w:vAlign w:val="center"/>
            <w:tcMar>
              <w:top w:w="80" w:type="dxa"/>
              <w:start w:w="120" w:type="dxa"/>
              <w:bottom w:w="80" w:type="dxa"/>
              <w:end w:w="120" w:type="dxa"/>
            </w:tcMar>
          </w:tcPr>
          <w:p>
            <w:pPr>
              <w:spacing w:after="0" w:line="252" w:lineRule="auto"/>
            </w:pPr>
            <w:r>
              <w:rPr>
                <w:rFonts w:ascii="Calibri" w:hAnsi="Calibri" w:eastAsia="Microsoft YaHei"/>
                <w:sz w:val="16"/>
              </w:rPr>
              <w:t>用于近零贴地板、冻结或检测限主导的通道。</w:t>
            </w:r>
          </w:p>
        </w:tc>
      </w:tr>
      <w:tr>
        <w:tc>
          <w:tcPr>
            <w:tcW w:type="dxa" w:w="1350"/>
            <w:vAlign w:val="center"/>
            <w:tcMar>
              <w:top w:w="80" w:type="dxa"/>
              <w:start w:w="120" w:type="dxa"/>
              <w:bottom w:w="80" w:type="dxa"/>
              <w:end w:w="120" w:type="dxa"/>
            </w:tcMar>
          </w:tcPr>
          <w:p>
            <w:pPr>
              <w:spacing w:after="0" w:line="252" w:lineRule="auto"/>
            </w:pPr>
            <w:r>
              <w:rPr>
                <w:rFonts w:ascii="Calibri" w:hAnsi="Calibri" w:eastAsia="Microsoft YaHei"/>
                <w:sz w:val="16"/>
              </w:rPr>
              <w:t>autocorr_aware</w:t>
            </w:r>
          </w:p>
        </w:tc>
        <w:tc>
          <w:tcPr>
            <w:tcW w:type="dxa" w:w="2100"/>
            <w:vAlign w:val="center"/>
            <w:tcMar>
              <w:top w:w="80" w:type="dxa"/>
              <w:start w:w="120" w:type="dxa"/>
              <w:bottom w:w="80" w:type="dxa"/>
              <w:end w:w="120" w:type="dxa"/>
            </w:tcMar>
          </w:tcPr>
          <w:p>
            <w:pPr>
              <w:spacing w:after="0" w:line="252" w:lineRule="auto"/>
            </w:pPr>
            <w:r>
              <w:rPr>
                <w:rFonts w:ascii="Calibri" w:hAnsi="Calibri" w:eastAsia="Microsoft YaHei"/>
                <w:sz w:val="16"/>
              </w:rPr>
              <w:t>自相关感知评分路径</w:t>
            </w:r>
          </w:p>
        </w:tc>
        <w:tc>
          <w:tcPr>
            <w:tcW w:type="dxa" w:w="3050"/>
            <w:vAlign w:val="center"/>
            <w:tcMar>
              <w:top w:w="80" w:type="dxa"/>
              <w:start w:w="120" w:type="dxa"/>
              <w:bottom w:w="80" w:type="dxa"/>
              <w:end w:w="120" w:type="dxa"/>
            </w:tcMar>
          </w:tcPr>
          <w:p>
            <w:pPr>
              <w:spacing w:after="0" w:line="252" w:lineRule="auto"/>
            </w:pPr>
            <w:r>
              <w:rPr>
                <w:rFonts w:ascii="Calibri" w:hAnsi="Calibri" w:eastAsia="Microsoft YaHei"/>
                <w:sz w:val="16"/>
              </w:rPr>
              <w:t>Autocorrelation-aware Scoring Path</w:t>
            </w:r>
          </w:p>
        </w:tc>
        <w:tc>
          <w:tcPr>
            <w:tcW w:type="dxa" w:w="2860"/>
            <w:vAlign w:val="center"/>
            <w:tcMar>
              <w:top w:w="80" w:type="dxa"/>
              <w:start w:w="120" w:type="dxa"/>
              <w:bottom w:w="80" w:type="dxa"/>
              <w:end w:w="120" w:type="dxa"/>
            </w:tcMar>
          </w:tcPr>
          <w:p>
            <w:pPr>
              <w:spacing w:after="0" w:line="252" w:lineRule="auto"/>
            </w:pPr>
            <w:r>
              <w:rPr>
                <w:rFonts w:ascii="Calibri" w:hAnsi="Calibri" w:eastAsia="Microsoft YaHei"/>
                <w:sz w:val="16"/>
              </w:rPr>
              <w:t>用于仍有强自相关的残差路径，下游阈值需考虑有效样本量。</w:t>
            </w:r>
          </w:p>
        </w:tc>
      </w:tr>
    </w:tbl>
    <w:p>
      <w:pPr>
        <w:spacing w:after="40"/>
      </w:pPr>
    </w:p>
    <w:p>
      <w:pPr>
        <w:pStyle w:val="Heading1"/>
      </w:pPr>
      <w:r>
        <w:t>七、白化有效性元数据表与下游评分路由</w:t>
      </w:r>
    </w:p>
    <w:p>
      <w:pPr>
        <w:spacing w:line="264" w:lineRule="auto"/>
      </w:pPr>
      <w:r>
        <w:rPr>
          <w:rFonts w:ascii="Calibri" w:hAnsi="Calibri" w:eastAsia="Microsoft YaHei"/>
          <w:b w:val="0"/>
          <w:i w:val="0"/>
          <w:sz w:val="22"/>
        </w:rPr>
        <w:t>建议将图中的 Whitening-validity metadata table 定义为“白化有效性元数据表”，也可在正文中称为“白化可用性与评分路由清单”（Whitening Usability and Scoring Routing Manifest）。它不是普通结果表，而是 §1.1 向 §1.2 交付的统计输入契约。</w:t>
      </w:r>
    </w:p>
    <w:tbl>
      <w:tblPr>
        <w:tblStyle w:val="TableGrid"/>
        <w:tblW w:type="dxa" w:w="9360"/>
        <w:jc w:val="left"/>
        <w:tblLayout w:type="fixed"/>
        <w:tblLook w:firstColumn="1" w:firstRow="1" w:lastColumn="0" w:lastRow="0" w:noHBand="0" w:noVBand="1" w:val="04A0"/>
        <w:tblInd w:w="120" w:type="dxa"/>
      </w:tblPr>
      <w:tblGrid>
        <w:gridCol w:w="1850"/>
        <w:gridCol w:w="3800"/>
        <w:gridCol w:w="3710"/>
      </w:tblGrid>
      <w:tr>
        <w:tc>
          <w:tcPr>
            <w:tcW w:type="dxa" w:w="1850"/>
            <w:shd w:fill="F2F4F7"/>
            <w:vAlign w:val="center"/>
            <w:tcMar>
              <w:top w:w="80" w:type="dxa"/>
              <w:start w:w="120" w:type="dxa"/>
              <w:bottom w:w="80" w:type="dxa"/>
              <w:end w:w="120" w:type="dxa"/>
            </w:tcMar>
          </w:tcPr>
          <w:p>
            <w:pPr>
              <w:spacing w:after="0"/>
            </w:pPr>
            <w:r>
              <w:rPr>
                <w:rFonts w:ascii="Calibri" w:hAnsi="Calibri" w:eastAsia="Microsoft YaHei"/>
                <w:b/>
                <w:color w:val="141F2B"/>
                <w:sz w:val="16"/>
              </w:rPr>
              <w:t>字段/概念</w:t>
            </w:r>
          </w:p>
        </w:tc>
        <w:tc>
          <w:tcPr>
            <w:tcW w:type="dxa" w:w="3800"/>
            <w:shd w:fill="F2F4F7"/>
            <w:vAlign w:val="center"/>
            <w:tcMar>
              <w:top w:w="80" w:type="dxa"/>
              <w:start w:w="120" w:type="dxa"/>
              <w:bottom w:w="80" w:type="dxa"/>
              <w:end w:w="120" w:type="dxa"/>
            </w:tcMar>
          </w:tcPr>
          <w:p>
            <w:pPr>
              <w:spacing w:after="0"/>
            </w:pPr>
            <w:r>
              <w:rPr>
                <w:rFonts w:ascii="Calibri" w:hAnsi="Calibri" w:eastAsia="Microsoft YaHei"/>
                <w:b/>
                <w:color w:val="141F2B"/>
                <w:sz w:val="16"/>
              </w:rPr>
              <w:t>专业含义</w:t>
            </w:r>
          </w:p>
        </w:tc>
        <w:tc>
          <w:tcPr>
            <w:tcW w:type="dxa" w:w="3710"/>
            <w:shd w:fill="F2F4F7"/>
            <w:vAlign w:val="center"/>
            <w:tcMar>
              <w:top w:w="80" w:type="dxa"/>
              <w:start w:w="120" w:type="dxa"/>
              <w:bottom w:w="80" w:type="dxa"/>
              <w:end w:w="120" w:type="dxa"/>
            </w:tcMar>
          </w:tcPr>
          <w:p>
            <w:pPr>
              <w:spacing w:after="0"/>
            </w:pPr>
            <w:r>
              <w:rPr>
                <w:rFonts w:ascii="Calibri" w:hAnsi="Calibri" w:eastAsia="Microsoft YaHei"/>
                <w:b/>
                <w:color w:val="141F2B"/>
                <w:sz w:val="16"/>
              </w:rPr>
              <w:t>下游作用</w:t>
            </w:r>
          </w:p>
        </w:tc>
      </w:tr>
      <w:tr>
        <w:tc>
          <w:tcPr>
            <w:tcW w:type="dxa" w:w="1850"/>
            <w:vAlign w:val="center"/>
            <w:tcMar>
              <w:top w:w="80" w:type="dxa"/>
              <w:start w:w="120" w:type="dxa"/>
              <w:bottom w:w="80" w:type="dxa"/>
              <w:end w:w="120" w:type="dxa"/>
            </w:tcMar>
          </w:tcPr>
          <w:p>
            <w:pPr>
              <w:spacing w:after="0" w:line="252" w:lineRule="auto"/>
            </w:pPr>
            <w:r>
              <w:rPr>
                <w:rFonts w:ascii="Calibri" w:hAnsi="Calibri" w:eastAsia="Microsoft YaHei"/>
                <w:sz w:val="16"/>
              </w:rPr>
              <w:t>whitened</w:t>
            </w:r>
          </w:p>
        </w:tc>
        <w:tc>
          <w:tcPr>
            <w:tcW w:type="dxa" w:w="3800"/>
            <w:vAlign w:val="center"/>
            <w:tcMar>
              <w:top w:w="80" w:type="dxa"/>
              <w:start w:w="120" w:type="dxa"/>
              <w:bottom w:w="80" w:type="dxa"/>
              <w:end w:w="120" w:type="dxa"/>
            </w:tcMar>
          </w:tcPr>
          <w:p>
            <w:pPr>
              <w:spacing w:after="0" w:line="252" w:lineRule="auto"/>
            </w:pPr>
            <w:r>
              <w:rPr>
                <w:rFonts w:ascii="Calibri" w:hAnsi="Calibri" w:eastAsia="Microsoft YaHei"/>
                <w:sz w:val="16"/>
              </w:rPr>
              <w:t>是否通过白化模型准入准则</w:t>
            </w:r>
          </w:p>
        </w:tc>
        <w:tc>
          <w:tcPr>
            <w:tcW w:type="dxa" w:w="3710"/>
            <w:vAlign w:val="center"/>
            <w:tcMar>
              <w:top w:w="80" w:type="dxa"/>
              <w:start w:w="120" w:type="dxa"/>
              <w:bottom w:w="80" w:type="dxa"/>
              <w:end w:w="120" w:type="dxa"/>
            </w:tcMar>
          </w:tcPr>
          <w:p>
            <w:pPr>
              <w:spacing w:after="0" w:line="252" w:lineRule="auto"/>
            </w:pPr>
            <w:r>
              <w:rPr>
                <w:rFonts w:ascii="Calibri" w:hAnsi="Calibri" w:eastAsia="Microsoft YaHei"/>
                <w:sz w:val="16"/>
              </w:rPr>
              <w:t>决定是否可按近独立创新评分。</w:t>
            </w:r>
          </w:p>
        </w:tc>
      </w:tr>
      <w:tr>
        <w:tc>
          <w:tcPr>
            <w:tcW w:type="dxa" w:w="1850"/>
            <w:vAlign w:val="center"/>
            <w:tcMar>
              <w:top w:w="80" w:type="dxa"/>
              <w:start w:w="120" w:type="dxa"/>
              <w:bottom w:w="80" w:type="dxa"/>
              <w:end w:w="120" w:type="dxa"/>
            </w:tcMar>
          </w:tcPr>
          <w:p>
            <w:pPr>
              <w:spacing w:after="0" w:line="252" w:lineRule="auto"/>
            </w:pPr>
            <w:r>
              <w:rPr>
                <w:rFonts w:ascii="Calibri" w:hAnsi="Calibri" w:eastAsia="Microsoft YaHei"/>
                <w:sz w:val="16"/>
              </w:rPr>
              <w:t>innov_kind</w:t>
            </w:r>
          </w:p>
        </w:tc>
        <w:tc>
          <w:tcPr>
            <w:tcW w:type="dxa" w:w="3800"/>
            <w:vAlign w:val="center"/>
            <w:tcMar>
              <w:top w:w="80" w:type="dxa"/>
              <w:start w:w="120" w:type="dxa"/>
              <w:bottom w:w="80" w:type="dxa"/>
              <w:end w:w="120" w:type="dxa"/>
            </w:tcMar>
          </w:tcPr>
          <w:p>
            <w:pPr>
              <w:spacing w:after="0" w:line="252" w:lineRule="auto"/>
            </w:pPr>
            <w:r>
              <w:rPr>
                <w:rFonts w:ascii="Calibri" w:hAnsi="Calibri" w:eastAsia="Microsoft YaHei"/>
                <w:sz w:val="16"/>
              </w:rPr>
              <w:t>输出序列类型：innovation / robust_z / censored_z</w:t>
            </w:r>
          </w:p>
        </w:tc>
        <w:tc>
          <w:tcPr>
            <w:tcW w:type="dxa" w:w="3710"/>
            <w:vAlign w:val="center"/>
            <w:tcMar>
              <w:top w:w="80" w:type="dxa"/>
              <w:start w:w="120" w:type="dxa"/>
              <w:bottom w:w="80" w:type="dxa"/>
              <w:end w:w="120" w:type="dxa"/>
            </w:tcMar>
          </w:tcPr>
          <w:p>
            <w:pPr>
              <w:spacing w:after="0" w:line="252" w:lineRule="auto"/>
            </w:pPr>
            <w:r>
              <w:rPr>
                <w:rFonts w:ascii="Calibri" w:hAnsi="Calibri" w:eastAsia="Microsoft YaHei"/>
                <w:sz w:val="16"/>
              </w:rPr>
              <w:t>防止把稳健残差误称为白化创新。</w:t>
            </w:r>
          </w:p>
        </w:tc>
      </w:tr>
      <w:tr>
        <w:tc>
          <w:tcPr>
            <w:tcW w:type="dxa" w:w="1850"/>
            <w:vAlign w:val="center"/>
            <w:tcMar>
              <w:top w:w="80" w:type="dxa"/>
              <w:start w:w="120" w:type="dxa"/>
              <w:bottom w:w="80" w:type="dxa"/>
              <w:end w:w="120" w:type="dxa"/>
            </w:tcMar>
          </w:tcPr>
          <w:p>
            <w:pPr>
              <w:spacing w:after="0" w:line="252" w:lineRule="auto"/>
            </w:pPr>
            <w:r>
              <w:rPr>
                <w:rFonts w:ascii="Calibri" w:hAnsi="Calibri" w:eastAsia="Microsoft YaHei"/>
                <w:sz w:val="16"/>
              </w:rPr>
              <w:t>scoring_mode</w:t>
            </w:r>
          </w:p>
        </w:tc>
        <w:tc>
          <w:tcPr>
            <w:tcW w:type="dxa" w:w="3800"/>
            <w:vAlign w:val="center"/>
            <w:tcMar>
              <w:top w:w="80" w:type="dxa"/>
              <w:start w:w="120" w:type="dxa"/>
              <w:bottom w:w="80" w:type="dxa"/>
              <w:end w:w="120" w:type="dxa"/>
            </w:tcMar>
          </w:tcPr>
          <w:p>
            <w:pPr>
              <w:spacing w:after="0" w:line="252" w:lineRule="auto"/>
            </w:pPr>
            <w:r>
              <w:rPr>
                <w:rFonts w:ascii="Calibri" w:hAnsi="Calibri" w:eastAsia="Microsoft YaHei"/>
                <w:sz w:val="16"/>
              </w:rPr>
              <w:t>评分路径：iid / autocorr_aware / floor_freeze</w:t>
            </w:r>
          </w:p>
        </w:tc>
        <w:tc>
          <w:tcPr>
            <w:tcW w:type="dxa" w:w="3710"/>
            <w:vAlign w:val="center"/>
            <w:tcMar>
              <w:top w:w="80" w:type="dxa"/>
              <w:start w:w="120" w:type="dxa"/>
              <w:bottom w:w="80" w:type="dxa"/>
              <w:end w:w="120" w:type="dxa"/>
            </w:tcMar>
          </w:tcPr>
          <w:p>
            <w:pPr>
              <w:spacing w:after="0" w:line="252" w:lineRule="auto"/>
            </w:pPr>
            <w:r>
              <w:rPr>
                <w:rFonts w:ascii="Calibri" w:hAnsi="Calibri" w:eastAsia="Microsoft YaHei"/>
                <w:sz w:val="16"/>
              </w:rPr>
              <w:t>指导 §1.2 使用不同统计阈值和诊断方法。</w:t>
            </w:r>
          </w:p>
        </w:tc>
      </w:tr>
      <w:tr>
        <w:tc>
          <w:tcPr>
            <w:tcW w:type="dxa" w:w="1850"/>
            <w:vAlign w:val="center"/>
            <w:tcMar>
              <w:top w:w="80" w:type="dxa"/>
              <w:start w:w="120" w:type="dxa"/>
              <w:bottom w:w="80" w:type="dxa"/>
              <w:end w:w="120" w:type="dxa"/>
            </w:tcMar>
          </w:tcPr>
          <w:p>
            <w:pPr>
              <w:spacing w:after="0" w:line="252" w:lineRule="auto"/>
            </w:pPr>
            <w:r>
              <w:rPr>
                <w:rFonts w:ascii="Calibri" w:hAnsi="Calibri" w:eastAsia="Microsoft YaHei"/>
                <w:sz w:val="16"/>
              </w:rPr>
              <w:t>n_eff_ratio</w:t>
            </w:r>
          </w:p>
        </w:tc>
        <w:tc>
          <w:tcPr>
            <w:tcW w:type="dxa" w:w="3800"/>
            <w:vAlign w:val="center"/>
            <w:tcMar>
              <w:top w:w="80" w:type="dxa"/>
              <w:start w:w="120" w:type="dxa"/>
              <w:bottom w:w="80" w:type="dxa"/>
              <w:end w:w="120" w:type="dxa"/>
            </w:tcMar>
          </w:tcPr>
          <w:p>
            <w:pPr>
              <w:spacing w:after="0" w:line="252" w:lineRule="auto"/>
            </w:pPr>
            <w:r>
              <w:rPr>
                <w:rFonts w:ascii="Calibri" w:hAnsi="Calibri" w:eastAsia="Microsoft YaHei"/>
                <w:sz w:val="16"/>
              </w:rPr>
              <w:t>有效样本量比例</w:t>
            </w:r>
          </w:p>
        </w:tc>
        <w:tc>
          <w:tcPr>
            <w:tcW w:type="dxa" w:w="3710"/>
            <w:vAlign w:val="center"/>
            <w:tcMar>
              <w:top w:w="80" w:type="dxa"/>
              <w:start w:w="120" w:type="dxa"/>
              <w:bottom w:w="80" w:type="dxa"/>
              <w:end w:w="120" w:type="dxa"/>
            </w:tcMar>
          </w:tcPr>
          <w:p>
            <w:pPr>
              <w:spacing w:after="0" w:line="252" w:lineRule="auto"/>
            </w:pPr>
            <w:r>
              <w:rPr>
                <w:rFonts w:ascii="Calibri" w:hAnsi="Calibri" w:eastAsia="Microsoft YaHei"/>
                <w:sz w:val="16"/>
              </w:rPr>
              <w:t>自相关强时降低独立样本假设强度。</w:t>
            </w:r>
          </w:p>
        </w:tc>
      </w:tr>
    </w:tbl>
    <w:p>
      <w:pPr>
        <w:spacing w:after="40"/>
      </w:pPr>
    </w:p>
    <w:p>
      <w:pPr>
        <w:pStyle w:val="Heading1"/>
      </w:pPr>
      <w:r>
        <w:t>八、推荐术语体系</w:t>
      </w:r>
    </w:p>
    <w:tbl>
      <w:tblPr>
        <w:tblStyle w:val="TableGrid"/>
        <w:tblW w:type="dxa" w:w="9360"/>
        <w:jc w:val="left"/>
        <w:tblLayout w:type="fixed"/>
        <w:tblLook w:firstColumn="1" w:firstRow="1" w:lastColumn="0" w:lastRow="0" w:noHBand="0" w:noVBand="1" w:val="04A0"/>
        <w:tblInd w:w="120" w:type="dxa"/>
      </w:tblPr>
      <w:tblGrid>
        <w:gridCol w:w="1800"/>
        <w:gridCol w:w="2200"/>
        <w:gridCol w:w="3300"/>
        <w:gridCol w:w="2060"/>
      </w:tblGrid>
      <w:tr>
        <w:tc>
          <w:tcPr>
            <w:tcW w:type="dxa" w:w="1800"/>
            <w:shd w:fill="F2F4F7"/>
            <w:vAlign w:val="center"/>
            <w:tcMar>
              <w:top w:w="80" w:type="dxa"/>
              <w:start w:w="120" w:type="dxa"/>
              <w:bottom w:w="80" w:type="dxa"/>
              <w:end w:w="120" w:type="dxa"/>
            </w:tcMar>
          </w:tcPr>
          <w:p>
            <w:pPr>
              <w:spacing w:after="0"/>
            </w:pPr>
            <w:r>
              <w:rPr>
                <w:rFonts w:ascii="Calibri" w:hAnsi="Calibri" w:eastAsia="Microsoft YaHei"/>
                <w:b/>
                <w:color w:val="141F2B"/>
                <w:sz w:val="15"/>
              </w:rPr>
              <w:t>原表达/代码名</w:t>
            </w:r>
          </w:p>
        </w:tc>
        <w:tc>
          <w:tcPr>
            <w:tcW w:type="dxa" w:w="2200"/>
            <w:shd w:fill="F2F4F7"/>
            <w:vAlign w:val="center"/>
            <w:tcMar>
              <w:top w:w="80" w:type="dxa"/>
              <w:start w:w="120" w:type="dxa"/>
              <w:bottom w:w="80" w:type="dxa"/>
              <w:end w:w="120" w:type="dxa"/>
            </w:tcMar>
          </w:tcPr>
          <w:p>
            <w:pPr>
              <w:spacing w:after="0"/>
            </w:pPr>
            <w:r>
              <w:rPr>
                <w:rFonts w:ascii="Calibri" w:hAnsi="Calibri" w:eastAsia="Microsoft YaHei"/>
                <w:b/>
                <w:color w:val="141F2B"/>
                <w:sz w:val="15"/>
              </w:rPr>
              <w:t>推荐中文术语</w:t>
            </w:r>
          </w:p>
        </w:tc>
        <w:tc>
          <w:tcPr>
            <w:tcW w:type="dxa" w:w="3300"/>
            <w:shd w:fill="F2F4F7"/>
            <w:vAlign w:val="center"/>
            <w:tcMar>
              <w:top w:w="80" w:type="dxa"/>
              <w:start w:w="120" w:type="dxa"/>
              <w:bottom w:w="80" w:type="dxa"/>
              <w:end w:w="120" w:type="dxa"/>
            </w:tcMar>
          </w:tcPr>
          <w:p>
            <w:pPr>
              <w:spacing w:after="0"/>
            </w:pPr>
            <w:r>
              <w:rPr>
                <w:rFonts w:ascii="Calibri" w:hAnsi="Calibri" w:eastAsia="Microsoft YaHei"/>
                <w:b/>
                <w:color w:val="141F2B"/>
                <w:sz w:val="15"/>
              </w:rPr>
              <w:t>Professional English / Full name</w:t>
            </w:r>
          </w:p>
        </w:tc>
        <w:tc>
          <w:tcPr>
            <w:tcW w:type="dxa" w:w="2060"/>
            <w:shd w:fill="F2F4F7"/>
            <w:vAlign w:val="center"/>
            <w:tcMar>
              <w:top w:w="80" w:type="dxa"/>
              <w:start w:w="120" w:type="dxa"/>
              <w:bottom w:w="80" w:type="dxa"/>
              <w:end w:w="120" w:type="dxa"/>
            </w:tcMar>
          </w:tcPr>
          <w:p>
            <w:pPr>
              <w:spacing w:after="0"/>
            </w:pPr>
            <w:r>
              <w:rPr>
                <w:rFonts w:ascii="Calibri" w:hAnsi="Calibri" w:eastAsia="Microsoft YaHei"/>
                <w:b/>
                <w:color w:val="141F2B"/>
                <w:sz w:val="15"/>
              </w:rPr>
              <w:t>说明</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Differentiated causal additive decomposition</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工艺分层因果加性分解</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Process-stratified Causal Additive Decomposition (PCAD)</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推荐作为论文正式方法名。</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Original sequences h/min</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多速率原生分辨率输入轨道</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Multi-rate Native-resolution Input Streams</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建议替代简略 h/min。</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Rolling method</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因果尾随窗口估计</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Causal Trailing-window Estimation</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比 rolling method 更专业。</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Decomposition sufficiency check</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分解充分性检验</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Decomposition Sufficiency Test</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残差谱峰显著性检验。</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Residual Innovation Whitening</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残差创新化白化</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Residual Innovation Whitening</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覆盖 ARMA-family + GARCH。</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Model Acceptance Test</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白化模型准入准则</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Whitening Model Acceptance Criterion</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白化模型发布前判别。</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robust_z</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稳健标准化残差</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Robust Standardized Residual</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准入失败兜底路径。</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η_k(t)</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标准化创新序列</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Standardized Innovation Sequence</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通过白化准入后的主要输出。</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Whitening-validity metadata table</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白化有效性元数据表</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Whitening-validity Metadata Table</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图中简洁表达。</w:t>
            </w:r>
          </w:p>
        </w:tc>
      </w:tr>
      <w:tr>
        <w:tc>
          <w:tcPr>
            <w:tcW w:type="dxa" w:w="1800"/>
            <w:vAlign w:val="center"/>
            <w:tcMar>
              <w:top w:w="80" w:type="dxa"/>
              <w:start w:w="120" w:type="dxa"/>
              <w:bottom w:w="80" w:type="dxa"/>
              <w:end w:w="120" w:type="dxa"/>
            </w:tcMar>
          </w:tcPr>
          <w:p>
            <w:pPr>
              <w:spacing w:after="0" w:line="252" w:lineRule="auto"/>
            </w:pPr>
            <w:r>
              <w:rPr>
                <w:rFonts w:ascii="Calibri" w:hAnsi="Calibri" w:eastAsia="Microsoft YaHei"/>
                <w:sz w:val="15"/>
              </w:rPr>
              <w:t>whiteness_manifest</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5"/>
              </w:rPr>
              <w:t>白化可用性与评分路由清单</w:t>
            </w:r>
          </w:p>
        </w:tc>
        <w:tc>
          <w:tcPr>
            <w:tcW w:type="dxa" w:w="3300"/>
            <w:vAlign w:val="center"/>
            <w:tcMar>
              <w:top w:w="80" w:type="dxa"/>
              <w:start w:w="120" w:type="dxa"/>
              <w:bottom w:w="80" w:type="dxa"/>
              <w:end w:w="120" w:type="dxa"/>
            </w:tcMar>
          </w:tcPr>
          <w:p>
            <w:pPr>
              <w:spacing w:after="0" w:line="252" w:lineRule="auto"/>
            </w:pPr>
            <w:r>
              <w:rPr>
                <w:rFonts w:ascii="Calibri" w:hAnsi="Calibri" w:eastAsia="Microsoft YaHei"/>
                <w:sz w:val="15"/>
              </w:rPr>
              <w:t>Whitening Usability and Scoring Routing Manifest</w:t>
            </w:r>
          </w:p>
        </w:tc>
        <w:tc>
          <w:tcPr>
            <w:tcW w:type="dxa" w:w="2060"/>
            <w:vAlign w:val="center"/>
            <w:tcMar>
              <w:top w:w="80" w:type="dxa"/>
              <w:start w:w="120" w:type="dxa"/>
              <w:bottom w:w="80" w:type="dxa"/>
              <w:end w:w="120" w:type="dxa"/>
            </w:tcMar>
          </w:tcPr>
          <w:p>
            <w:pPr>
              <w:spacing w:after="0" w:line="252" w:lineRule="auto"/>
            </w:pPr>
            <w:r>
              <w:rPr>
                <w:rFonts w:ascii="Calibri" w:hAnsi="Calibri" w:eastAsia="Microsoft YaHei"/>
                <w:sz w:val="15"/>
              </w:rPr>
              <w:t>正文或附录中解释代码产物。</w:t>
            </w:r>
          </w:p>
        </w:tc>
      </w:tr>
    </w:tbl>
    <w:p>
      <w:pPr>
        <w:spacing w:after="40"/>
      </w:pPr>
    </w:p>
    <w:p>
      <w:pPr>
        <w:pStyle w:val="Heading1"/>
      </w:pPr>
      <w:r>
        <w:t>九、对当前流程图的最终建议</w:t>
      </w:r>
    </w:p>
    <w:p>
      <w:pPr>
        <w:pStyle w:val="ListBullet"/>
        <w:spacing w:after="60" w:line="269" w:lineRule="auto"/>
      </w:pPr>
      <w:r>
        <w:rPr>
          <w:rFonts w:ascii="Calibri" w:hAnsi="Calibri" w:eastAsia="Microsoft YaHei"/>
          <w:sz w:val="21"/>
        </w:rPr>
        <w:t>保留 Process-stratified causal additive decomposition 作为主模块名称，正文首次出现时定义为 PCAD。</w:t>
      </w:r>
    </w:p>
    <w:p>
      <w:pPr>
        <w:pStyle w:val="ListBullet"/>
        <w:spacing w:after="60" w:line="269" w:lineRule="auto"/>
      </w:pPr>
      <w:r>
        <w:rPr>
          <w:rFonts w:ascii="Calibri" w:hAnsi="Calibri" w:eastAsia="Microsoft YaHei"/>
          <w:sz w:val="21"/>
        </w:rPr>
        <w:t>在 Original sequences 附近补充 Native-resolution input streams：1-min process signals 与 1-h water-quality series。</w:t>
      </w:r>
    </w:p>
    <w:p>
      <w:pPr>
        <w:pStyle w:val="ListBullet"/>
        <w:spacing w:after="60" w:line="269" w:lineRule="auto"/>
      </w:pPr>
      <w:r>
        <w:rPr>
          <w:rFonts w:ascii="Calibri" w:hAnsi="Calibri" w:eastAsia="Microsoft YaHei"/>
          <w:sz w:val="21"/>
        </w:rPr>
        <w:t>将 adaptive harmonics + causal STL + trailing-window trend 改为 adaptive harmonics + causal STL refinement + causal trailing-window trend estimation。</w:t>
      </w:r>
    </w:p>
    <w:p>
      <w:pPr>
        <w:pStyle w:val="ListBullet"/>
        <w:spacing w:after="60" w:line="269" w:lineRule="auto"/>
      </w:pPr>
      <w:r>
        <w:rPr>
          <w:rFonts w:ascii="Calibri" w:hAnsi="Calibri" w:eastAsia="Microsoft YaHei"/>
          <w:sz w:val="21"/>
        </w:rPr>
        <w:t>将 Decomposition sufficiency check 与 ε_k(t) 残差路径绑定，强调其检查对象是残差谱峰，而非趋势项或周期项本身。</w:t>
      </w:r>
    </w:p>
    <w:p>
      <w:pPr>
        <w:pStyle w:val="ListBullet"/>
        <w:spacing w:after="60" w:line="269" w:lineRule="auto"/>
      </w:pPr>
      <w:r>
        <w:rPr>
          <w:rFonts w:ascii="Calibri" w:hAnsi="Calibri" w:eastAsia="Microsoft YaHei"/>
          <w:sz w:val="21"/>
        </w:rPr>
        <w:t>将 ARMA/GARCH residual Whitening 专业化为 Residual Innovation Whitening；正文说明其包括 ARMA-family mean whitening 与 optional GARCH variance standardization。</w:t>
      </w:r>
    </w:p>
    <w:p>
      <w:pPr>
        <w:pStyle w:val="ListBullet"/>
        <w:spacing w:after="60" w:line="269" w:lineRule="auto"/>
      </w:pPr>
      <w:r>
        <w:rPr>
          <w:rFonts w:ascii="Calibri" w:hAnsi="Calibri" w:eastAsia="Microsoft YaHei"/>
          <w:sz w:val="21"/>
        </w:rPr>
        <w:t>将 Whitening acceptance criteria 统一称为 Whitening Model Acceptance Criterion。</w:t>
      </w:r>
    </w:p>
    <w:p>
      <w:pPr>
        <w:pStyle w:val="ListBullet"/>
        <w:spacing w:after="60" w:line="269" w:lineRule="auto"/>
      </w:pPr>
      <w:r>
        <w:rPr>
          <w:rFonts w:ascii="Calibri" w:hAnsi="Calibri" w:eastAsia="Microsoft YaHei"/>
          <w:sz w:val="21"/>
        </w:rPr>
        <w:t>将 robust_z 在图中可保留代码名，但建议加专业标签 Robust Standardized Residual。</w:t>
      </w:r>
    </w:p>
    <w:p>
      <w:pPr>
        <w:pStyle w:val="ListBullet"/>
        <w:spacing w:after="60" w:line="269" w:lineRule="auto"/>
      </w:pPr>
      <w:r>
        <w:rPr>
          <w:rFonts w:ascii="Calibri" w:hAnsi="Calibri" w:eastAsia="Microsoft YaHei"/>
          <w:sz w:val="21"/>
        </w:rPr>
        <w:t>将 Whitening-validity metadata table 在正文中解释为 Whitening Usability and Scoring Routing Manifest，以便衔接项目文件 whiteness_manifest.csv。</w:t>
      </w:r>
    </w:p>
    <w:p>
      <w:r>
        <w:br w:type="page"/>
      </w:r>
    </w:p>
    <w:p>
      <w:pPr>
        <w:pStyle w:val="Heading1"/>
      </w:pPr>
      <w:r>
        <w:t>附录 A：术语、缩写与方法定义</w:t>
      </w:r>
    </w:p>
    <w:tbl>
      <w:tblPr>
        <w:tblStyle w:val="TableGrid"/>
        <w:tblW w:type="dxa" w:w="9360"/>
        <w:jc w:val="left"/>
        <w:tblLayout w:type="fixed"/>
        <w:tblLook w:firstColumn="1" w:firstRow="1" w:lastColumn="0" w:lastRow="0" w:noHBand="0" w:noVBand="1" w:val="04A0"/>
        <w:tblInd w:w="120" w:type="dxa"/>
      </w:tblPr>
      <w:tblGrid>
        <w:gridCol w:w="1150"/>
        <w:gridCol w:w="2950"/>
        <w:gridCol w:w="2200"/>
        <w:gridCol w:w="3060"/>
      </w:tblGrid>
      <w:tr>
        <w:tc>
          <w:tcPr>
            <w:tcW w:type="dxa" w:w="1150"/>
            <w:shd w:fill="F2F4F7"/>
            <w:vAlign w:val="center"/>
            <w:tcMar>
              <w:top w:w="80" w:type="dxa"/>
              <w:start w:w="120" w:type="dxa"/>
              <w:bottom w:w="80" w:type="dxa"/>
              <w:end w:w="120" w:type="dxa"/>
            </w:tcMar>
          </w:tcPr>
          <w:p>
            <w:pPr>
              <w:spacing w:after="0"/>
            </w:pPr>
            <w:r>
              <w:rPr>
                <w:rFonts w:ascii="Calibri" w:hAnsi="Calibri" w:eastAsia="Microsoft YaHei"/>
                <w:b/>
                <w:color w:val="141F2B"/>
                <w:sz w:val="14"/>
              </w:rPr>
              <w:t>缩写/术语</w:t>
            </w:r>
          </w:p>
        </w:tc>
        <w:tc>
          <w:tcPr>
            <w:tcW w:type="dxa" w:w="2950"/>
            <w:shd w:fill="F2F4F7"/>
            <w:vAlign w:val="center"/>
            <w:tcMar>
              <w:top w:w="80" w:type="dxa"/>
              <w:start w:w="120" w:type="dxa"/>
              <w:bottom w:w="80" w:type="dxa"/>
              <w:end w:w="120" w:type="dxa"/>
            </w:tcMar>
          </w:tcPr>
          <w:p>
            <w:pPr>
              <w:spacing w:after="0"/>
            </w:pPr>
            <w:r>
              <w:rPr>
                <w:rFonts w:ascii="Calibri" w:hAnsi="Calibri" w:eastAsia="Microsoft YaHei"/>
                <w:b/>
                <w:color w:val="141F2B"/>
                <w:sz w:val="14"/>
              </w:rPr>
              <w:t>英文全称</w:t>
            </w:r>
          </w:p>
        </w:tc>
        <w:tc>
          <w:tcPr>
            <w:tcW w:type="dxa" w:w="2200"/>
            <w:shd w:fill="F2F4F7"/>
            <w:vAlign w:val="center"/>
            <w:tcMar>
              <w:top w:w="80" w:type="dxa"/>
              <w:start w:w="120" w:type="dxa"/>
              <w:bottom w:w="80" w:type="dxa"/>
              <w:end w:w="120" w:type="dxa"/>
            </w:tcMar>
          </w:tcPr>
          <w:p>
            <w:pPr>
              <w:spacing w:after="0"/>
            </w:pPr>
            <w:r>
              <w:rPr>
                <w:rFonts w:ascii="Calibri" w:hAnsi="Calibri" w:eastAsia="Microsoft YaHei"/>
                <w:b/>
                <w:color w:val="141F2B"/>
                <w:sz w:val="14"/>
              </w:rPr>
              <w:t>专业中文名称</w:t>
            </w:r>
          </w:p>
        </w:tc>
        <w:tc>
          <w:tcPr>
            <w:tcW w:type="dxa" w:w="3060"/>
            <w:shd w:fill="F2F4F7"/>
            <w:vAlign w:val="center"/>
            <w:tcMar>
              <w:top w:w="80" w:type="dxa"/>
              <w:start w:w="120" w:type="dxa"/>
              <w:bottom w:w="80" w:type="dxa"/>
              <w:end w:w="120" w:type="dxa"/>
            </w:tcMar>
          </w:tcPr>
          <w:p>
            <w:pPr>
              <w:spacing w:after="0"/>
            </w:pPr>
            <w:r>
              <w:rPr>
                <w:rFonts w:ascii="Calibri" w:hAnsi="Calibri" w:eastAsia="Microsoft YaHei"/>
                <w:b/>
                <w:color w:val="141F2B"/>
                <w:sz w:val="14"/>
              </w:rPr>
              <w:t>定义与本项目作用</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PCAD</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Process-stratified Causal Additive Decomposition</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工艺分层因果加性分解</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按工艺组配置周期、趋势、截尾和白化路径的因果加性分解框架。</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STL</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Seasonal-Trend decomposition using LOESS</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基于 LOESS 的季节-趋势分解</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经典方法名；本项目使用因果 STL-style 同相位尾随均值精修。</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LOESS/LOWESS</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Locally Estimated / Locally Weighted Scatterplot Smoothing</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局部加权散点平滑</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趋势平滑思想；当前实现为因果后向滚动均值。</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ARMA</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AutoRegressive Moving Average</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自回归滑动平均模型</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对白化前残差的均值自相关进行建模。</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ARIMA</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AutoRegressive Integrated Moving Average</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差分自回归滑动平均模型</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用于单位根或需整数差分的残差。</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SARIMA</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Seasonal ARIMA</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季节差分自回归滑动平均模型</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用于季节单位根或周期性长记忆。</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ARFIMA</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Autoregressive Fractionally Integrated Moving Average</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分数差分自回归滑动平均模型</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用于长记忆残差。</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GARCH</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Generalized Autoregressive Conditional Heteroskedasticity</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广义自回归条件异方差模型</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标准化时间变化的条件方差。</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AIC</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Akaike Information Criterion</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赤池信息准则</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平衡拟合优度和模型复杂度，常偏预测性能。</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BIC</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Bayesian Information Criterion</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贝叶斯信息准则</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复杂度惩罚更强，常用于保守选模。</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Nested F-test</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Nested F-test</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嵌套 F 检验</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检验新增参数是否显著改善拟合。</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LB</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Ljung-Box Test</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Ljung-Box 自相关检验</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检验残差/创新是否仍存在自相关。</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ADF</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Augmented Dickey-Fuller Test</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增广 Dickey-Fuller 单位根检验</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检验单位根。</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KPSS</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Kwiatkowski-Phillips-Schmidt-Shin Test</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KPSS 平稳性检验</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检验平稳性原假设。</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ARCH-LM</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ARCH Lagrange Multiplier Test</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ARCH 拉格朗日乘子检验</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检验条件异方差。</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MAD</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Median Absolute Deviation</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中位数绝对偏差</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稳健尺度估计，用于 robust_z。</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ACF</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Autocorrelation Function</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自相关函数</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衡量序列滞后相关。</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PACF</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Partial Autocorrelation Function</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偏自相关函数</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辅助识别 AR 结构。</w:t>
            </w:r>
          </w:p>
        </w:tc>
      </w:tr>
      <w:tr>
        <w:tc>
          <w:tcPr>
            <w:tcW w:type="dxa" w:w="1150"/>
            <w:vAlign w:val="center"/>
            <w:tcMar>
              <w:top w:w="80" w:type="dxa"/>
              <w:start w:w="120" w:type="dxa"/>
              <w:bottom w:w="80" w:type="dxa"/>
              <w:end w:w="120" w:type="dxa"/>
            </w:tcMar>
          </w:tcPr>
          <w:p>
            <w:pPr>
              <w:spacing w:after="0" w:line="252" w:lineRule="auto"/>
            </w:pPr>
            <w:r>
              <w:rPr>
                <w:rFonts w:ascii="Calibri" w:hAnsi="Calibri" w:eastAsia="Microsoft YaHei"/>
                <w:sz w:val="14"/>
              </w:rPr>
              <w:t>Tobit / censoring</w:t>
            </w:r>
          </w:p>
        </w:tc>
        <w:tc>
          <w:tcPr>
            <w:tcW w:type="dxa" w:w="2950"/>
            <w:vAlign w:val="center"/>
            <w:tcMar>
              <w:top w:w="80" w:type="dxa"/>
              <w:start w:w="120" w:type="dxa"/>
              <w:bottom w:w="80" w:type="dxa"/>
              <w:end w:w="120" w:type="dxa"/>
            </w:tcMar>
          </w:tcPr>
          <w:p>
            <w:pPr>
              <w:spacing w:after="0" w:line="252" w:lineRule="auto"/>
            </w:pPr>
            <w:r>
              <w:rPr>
                <w:rFonts w:ascii="Calibri" w:hAnsi="Calibri" w:eastAsia="Microsoft YaHei"/>
                <w:sz w:val="14"/>
              </w:rPr>
              <w:t>Censored regression concept</w:t>
            </w:r>
          </w:p>
        </w:tc>
        <w:tc>
          <w:tcPr>
            <w:tcW w:type="dxa" w:w="2200"/>
            <w:vAlign w:val="center"/>
            <w:tcMar>
              <w:top w:w="80" w:type="dxa"/>
              <w:start w:w="120" w:type="dxa"/>
              <w:bottom w:w="80" w:type="dxa"/>
              <w:end w:w="120" w:type="dxa"/>
            </w:tcMar>
          </w:tcPr>
          <w:p>
            <w:pPr>
              <w:spacing w:after="0" w:line="252" w:lineRule="auto"/>
            </w:pPr>
            <w:r>
              <w:rPr>
                <w:rFonts w:ascii="Calibri" w:hAnsi="Calibri" w:eastAsia="Microsoft YaHei"/>
                <w:sz w:val="14"/>
              </w:rPr>
              <w:t>截尾/受限观测处理</w:t>
            </w:r>
          </w:p>
        </w:tc>
        <w:tc>
          <w:tcPr>
            <w:tcW w:type="dxa" w:w="3060"/>
            <w:vAlign w:val="center"/>
            <w:tcMar>
              <w:top w:w="80" w:type="dxa"/>
              <w:start w:w="120" w:type="dxa"/>
              <w:bottom w:w="80" w:type="dxa"/>
              <w:end w:w="120" w:type="dxa"/>
            </w:tcMar>
          </w:tcPr>
          <w:p>
            <w:pPr>
              <w:spacing w:after="0" w:line="252" w:lineRule="auto"/>
            </w:pPr>
            <w:r>
              <w:rPr>
                <w:rFonts w:ascii="Calibri" w:hAnsi="Calibri" w:eastAsia="Microsoft YaHei"/>
                <w:sz w:val="14"/>
              </w:rPr>
              <w:t>用于近检测限数据，不让截尾点污染残差证据。</w:t>
            </w:r>
          </w:p>
        </w:tc>
      </w:tr>
    </w:tbl>
    <w:p>
      <w:pPr>
        <w:spacing w:after="40"/>
      </w:pPr>
    </w:p>
    <w:p>
      <w:pPr>
        <w:pStyle w:val="Heading1"/>
      </w:pPr>
      <w:r>
        <w:t>附录 B：项目证据位置</w:t>
      </w:r>
    </w:p>
    <w:tbl>
      <w:tblPr>
        <w:tblStyle w:val="TableGrid"/>
        <w:tblW w:type="dxa" w:w="9360"/>
        <w:jc w:val="left"/>
        <w:tblLayout w:type="fixed"/>
        <w:tblLook w:firstColumn="1" w:firstRow="1" w:lastColumn="0" w:lastRow="0" w:noHBand="0" w:noVBand="1" w:val="04A0"/>
        <w:tblInd w:w="120" w:type="dxa"/>
      </w:tblPr>
      <w:tblGrid>
        <w:gridCol w:w="3500"/>
        <w:gridCol w:w="5860"/>
      </w:tblGrid>
      <w:tr>
        <w:tc>
          <w:tcPr>
            <w:tcW w:type="dxa" w:w="3500"/>
            <w:shd w:fill="F2F4F7"/>
            <w:vAlign w:val="center"/>
            <w:tcMar>
              <w:top w:w="80" w:type="dxa"/>
              <w:start w:w="120" w:type="dxa"/>
              <w:bottom w:w="80" w:type="dxa"/>
              <w:end w:w="120" w:type="dxa"/>
            </w:tcMar>
          </w:tcPr>
          <w:p>
            <w:pPr>
              <w:spacing w:after="0"/>
            </w:pPr>
            <w:r>
              <w:rPr>
                <w:rFonts w:ascii="Calibri" w:hAnsi="Calibri" w:eastAsia="Microsoft YaHei"/>
                <w:b/>
                <w:color w:val="141F2B"/>
                <w:sz w:val="16"/>
              </w:rPr>
              <w:t>文件</w:t>
            </w:r>
          </w:p>
        </w:tc>
        <w:tc>
          <w:tcPr>
            <w:tcW w:type="dxa" w:w="5860"/>
            <w:shd w:fill="F2F4F7"/>
            <w:vAlign w:val="center"/>
            <w:tcMar>
              <w:top w:w="80" w:type="dxa"/>
              <w:start w:w="120" w:type="dxa"/>
              <w:bottom w:w="80" w:type="dxa"/>
              <w:end w:w="120" w:type="dxa"/>
            </w:tcMar>
          </w:tcPr>
          <w:p>
            <w:pPr>
              <w:spacing w:after="0"/>
            </w:pPr>
            <w:r>
              <w:rPr>
                <w:rFonts w:ascii="Calibri" w:hAnsi="Calibri" w:eastAsia="Microsoft YaHei"/>
                <w:b/>
                <w:color w:val="141F2B"/>
                <w:sz w:val="16"/>
              </w:rPr>
              <w:t>对应内容</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Microsoft YaHei"/>
                <w:sz w:val="16"/>
              </w:rPr>
              <w:t>configs/deperiodise.yaml</w:t>
            </w:r>
          </w:p>
        </w:tc>
        <w:tc>
          <w:tcPr>
            <w:tcW w:type="dxa" w:w="5860"/>
            <w:vAlign w:val="center"/>
            <w:tcMar>
              <w:top w:w="80" w:type="dxa"/>
              <w:start w:w="120" w:type="dxa"/>
              <w:bottom w:w="80" w:type="dxa"/>
              <w:end w:w="120" w:type="dxa"/>
            </w:tcMar>
          </w:tcPr>
          <w:p>
            <w:pPr>
              <w:spacing w:after="0" w:line="252" w:lineRule="auto"/>
            </w:pPr>
            <w:r>
              <w:rPr>
                <w:rFonts w:ascii="Calibri" w:hAnsi="Calibri" w:eastAsia="Microsoft YaHei"/>
                <w:sz w:val="16"/>
              </w:rPr>
              <w:t>工艺组候选周期、谐波阶边界、趋势带宽、STL 与截尾配置。</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Microsoft YaHei"/>
                <w:sz w:val="16"/>
              </w:rPr>
              <w:t>src/baseline/deperiodise.py</w:t>
            </w:r>
          </w:p>
        </w:tc>
        <w:tc>
          <w:tcPr>
            <w:tcW w:type="dxa" w:w="5860"/>
            <w:vAlign w:val="center"/>
            <w:tcMar>
              <w:top w:w="80" w:type="dxa"/>
              <w:start w:w="120" w:type="dxa"/>
              <w:bottom w:w="80" w:type="dxa"/>
              <w:end w:w="120" w:type="dxa"/>
            </w:tcMar>
          </w:tcPr>
          <w:p>
            <w:pPr>
              <w:spacing w:after="0" w:line="252" w:lineRule="auto"/>
            </w:pPr>
            <w:r>
              <w:rPr>
                <w:rFonts w:ascii="Calibri" w:hAnsi="Calibri" w:eastAsia="Microsoft YaHei"/>
                <w:sz w:val="16"/>
              </w:rPr>
              <w:t>PCAD 分解、因果趋势、因果 STL 精修、分解充分性检验。</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Microsoft YaHei"/>
                <w:sz w:val="16"/>
              </w:rPr>
              <w:t>src/baseline/harmonic_order.py</w:t>
            </w:r>
          </w:p>
        </w:tc>
        <w:tc>
          <w:tcPr>
            <w:tcW w:type="dxa" w:w="5860"/>
            <w:vAlign w:val="center"/>
            <w:tcMar>
              <w:top w:w="80" w:type="dxa"/>
              <w:start w:w="120" w:type="dxa"/>
              <w:bottom w:w="80" w:type="dxa"/>
              <w:end w:w="120" w:type="dxa"/>
            </w:tcMar>
          </w:tcPr>
          <w:p>
            <w:pPr>
              <w:spacing w:after="0" w:line="252" w:lineRule="auto"/>
            </w:pPr>
            <w:r>
              <w:rPr>
                <w:rFonts w:ascii="Calibri" w:hAnsi="Calibri" w:eastAsia="Microsoft YaHei"/>
                <w:sz w:val="16"/>
              </w:rPr>
              <w:t>Fourier 设计矩阵、自适应谐波选阶、AIC/BIC/嵌套 F 检验。</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Microsoft YaHei"/>
                <w:sz w:val="16"/>
              </w:rPr>
              <w:t>configs/whiten.yaml</w:t>
            </w:r>
          </w:p>
        </w:tc>
        <w:tc>
          <w:tcPr>
            <w:tcW w:type="dxa" w:w="5860"/>
            <w:vAlign w:val="center"/>
            <w:tcMar>
              <w:top w:w="80" w:type="dxa"/>
              <w:start w:w="120" w:type="dxa"/>
              <w:bottom w:w="80" w:type="dxa"/>
              <w:end w:w="120" w:type="dxa"/>
            </w:tcMar>
          </w:tcPr>
          <w:p>
            <w:pPr>
              <w:spacing w:after="0" w:line="252" w:lineRule="auto"/>
            </w:pPr>
            <w:r>
              <w:rPr>
                <w:rFonts w:ascii="Calibri" w:hAnsi="Calibri" w:eastAsia="Microsoft YaHei"/>
                <w:sz w:val="16"/>
              </w:rPr>
              <w:t>ARMA-family 网格、GARCH、模型准入、robust_z/floor 路由配置。</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Microsoft YaHei"/>
                <w:sz w:val="16"/>
              </w:rPr>
              <w:t>src/whiten/acceptance_gate.py</w:t>
            </w:r>
          </w:p>
        </w:tc>
        <w:tc>
          <w:tcPr>
            <w:tcW w:type="dxa" w:w="5860"/>
            <w:vAlign w:val="center"/>
            <w:tcMar>
              <w:top w:w="80" w:type="dxa"/>
              <w:start w:w="120" w:type="dxa"/>
              <w:bottom w:w="80" w:type="dxa"/>
              <w:end w:w="120" w:type="dxa"/>
            </w:tcMar>
          </w:tcPr>
          <w:p>
            <w:pPr>
              <w:spacing w:after="0" w:line="252" w:lineRule="auto"/>
            </w:pPr>
            <w:r>
              <w:rPr>
                <w:rFonts w:ascii="Calibri" w:hAnsi="Calibri" w:eastAsia="Microsoft YaHei"/>
                <w:sz w:val="16"/>
              </w:rPr>
              <w:t>白化模型准入准则实现。</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Microsoft YaHei"/>
                <w:sz w:val="16"/>
              </w:rPr>
              <w:t>src/whiten/diagnostics.py</w:t>
            </w:r>
          </w:p>
        </w:tc>
        <w:tc>
          <w:tcPr>
            <w:tcW w:type="dxa" w:w="5860"/>
            <w:vAlign w:val="center"/>
            <w:tcMar>
              <w:top w:w="80" w:type="dxa"/>
              <w:start w:w="120" w:type="dxa"/>
              <w:bottom w:w="80" w:type="dxa"/>
              <w:end w:w="120" w:type="dxa"/>
            </w:tcMar>
          </w:tcPr>
          <w:p>
            <w:pPr>
              <w:spacing w:after="0" w:line="252" w:lineRule="auto"/>
            </w:pPr>
            <w:r>
              <w:rPr>
                <w:rFonts w:ascii="Calibri" w:hAnsi="Calibri" w:eastAsia="Microsoft YaHei"/>
                <w:sz w:val="16"/>
              </w:rPr>
              <w:t>Ljung-Box、ADF、KPSS、ARCH-LM、robust_z、censored_robust_z 等诊断。</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Microsoft YaHei"/>
                <w:sz w:val="16"/>
              </w:rPr>
              <w:t>outputs/tables/decomposition_sufficiency.csv</w:t>
            </w:r>
          </w:p>
        </w:tc>
        <w:tc>
          <w:tcPr>
            <w:tcW w:type="dxa" w:w="5860"/>
            <w:vAlign w:val="center"/>
            <w:tcMar>
              <w:top w:w="80" w:type="dxa"/>
              <w:start w:w="120" w:type="dxa"/>
              <w:bottom w:w="80" w:type="dxa"/>
              <w:end w:w="120" w:type="dxa"/>
            </w:tcMar>
          </w:tcPr>
          <w:p>
            <w:pPr>
              <w:spacing w:after="0" w:line="252" w:lineRule="auto"/>
            </w:pPr>
            <w:r>
              <w:rPr>
                <w:rFonts w:ascii="Calibri" w:hAnsi="Calibri" w:eastAsia="Microsoft YaHei"/>
                <w:sz w:val="16"/>
              </w:rPr>
              <w:t>分解充分性检验结果：decomp_pass、stl_iters 与周期峰比。</w:t>
            </w:r>
          </w:p>
        </w:tc>
      </w:tr>
      <w:tr>
        <w:tc>
          <w:tcPr>
            <w:tcW w:type="dxa" w:w="3500"/>
            <w:vAlign w:val="center"/>
            <w:tcMar>
              <w:top w:w="80" w:type="dxa"/>
              <w:start w:w="120" w:type="dxa"/>
              <w:bottom w:w="80" w:type="dxa"/>
              <w:end w:w="120" w:type="dxa"/>
            </w:tcMar>
          </w:tcPr>
          <w:p>
            <w:pPr>
              <w:spacing w:after="0" w:line="252" w:lineRule="auto"/>
            </w:pPr>
            <w:r>
              <w:rPr>
                <w:rFonts w:ascii="Calibri" w:hAnsi="Calibri" w:eastAsia="Microsoft YaHei"/>
                <w:sz w:val="16"/>
              </w:rPr>
              <w:t>outputs/tables/whiteness_manifest.csv</w:t>
            </w:r>
          </w:p>
        </w:tc>
        <w:tc>
          <w:tcPr>
            <w:tcW w:type="dxa" w:w="5860"/>
            <w:vAlign w:val="center"/>
            <w:tcMar>
              <w:top w:w="80" w:type="dxa"/>
              <w:start w:w="120" w:type="dxa"/>
              <w:bottom w:w="80" w:type="dxa"/>
              <w:end w:w="120" w:type="dxa"/>
            </w:tcMar>
          </w:tcPr>
          <w:p>
            <w:pPr>
              <w:spacing w:after="0" w:line="252" w:lineRule="auto"/>
            </w:pPr>
            <w:r>
              <w:rPr>
                <w:rFonts w:ascii="Calibri" w:hAnsi="Calibri" w:eastAsia="Microsoft YaHei"/>
                <w:sz w:val="16"/>
              </w:rPr>
              <w:t>白化可用性与评分路由清单：whitened、innov_kind、scoring_mode、n_eff_ratio。</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8606E"/>
        <w:sz w:val="18"/>
      </w:rPr>
      <w:t>Project 1 Data Quality Assessment / 1.1 Decomposition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Microsoft YaHei"/>
        <w:color w:val="58606E"/>
        <w:sz w:val="18"/>
      </w:rPr>
      <w:t>Trend Decomposition Method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720" w:hanging="360"/>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720" w:hanging="360"/>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