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Topological Role Consistency and Structural Representativeness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Research package complete; production DQR release blocked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D7-LOCAL-20260716T125319Z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D7 v2.1 is complete as a research and review package. The Local, Sensitivity and Shadow V2 tracks, frozen method assets, validation, plotting data, figures, reports and audit records are present and reproducible.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Production release is blocked: topology/asset identity is unverified, 53 of 56 templates remain L1, and swap Top-1 is 0.75 versus the 0.80 target. D7_total, D7_forDQR and D6 final arbitration therefore remain empty.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D4 covers physical value/rate constraints; D6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D7 consumes no D1-D6 score, state or event. D1/D2/D4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D7_raw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3.155; median 3.186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43.8%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499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17.1%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total / D6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 / 0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Correctly blocked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is forced to L1 diagonal robust Z with alpha=1.00 and cannot auto-promote. Missing, OOD and limited evidence is represented by status and NaN, never by a fabricated low production score.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0.928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0.750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0.061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0.039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0.844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0.978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D6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report-only review threshold. They cannot mutate production topology or activate Veto.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 drawing, coordinates, asset IDs, serial numbers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D7-to-D6 zone consensus is present but every row is non-evaluable for final arbitration.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D6 protected columns remain unchanged because no D6 write path exists.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036749"/>
            <wp:docPr id="1" name="Picture 1" descr="Figure D7-1 | Declar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036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D7-1 | Declared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010055"/>
            <wp:docPr id="2" name="Picture 2" descr="Figure D7-2 | Spatiotemporal D7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1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D7-2 | Spatiotemporal D7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32264"/>
            <wp:docPr id="3" name="Picture 3" descr="Figure D7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39772"/>
            <wp:docPr id="4" name="Picture 4" descr="Figure D7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316649"/>
            <wp:docPr id="5" name="Picture 5" descr="Figure D7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316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D7-5 | Support, regime, topology and release governance.</w:t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Field topology and asset identity are not verified or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inadequate for production gating in 53 of 56 templates.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Swap Top-1 is 0.75, below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499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branch is suitable for expert review and merge as a research implementation with explicit production gates. It is not suitable for activation in WW-DQS/DQR arbitration.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Complete field mapping and obtain two independent approvals.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Regenerate all topology-bound templates and hashes.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Accumulate qualified multi-season effective blocks and pass support exit criteria.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blocked-holdout Top-1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Add prospective field-confirmed cases before activating D7_total or D6 final arbitration.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2026-07-16 21:19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