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D7 Expert Review Report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Topological Role Consistency and Structural Representativeness | v2.1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Research package complete; production DQR release blocked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D7-LOCAL-20260716T125319Z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Executive verdict</w:t>
      </w:r>
    </w:p>
    <w:p>
      <w:r>
        <w:rPr>
          <w:rFonts w:ascii="Arial" w:hAnsi="Arial" w:eastAsia="Microsoft YaHei"/>
          <w:color w:val="25282A"/>
          <w:sz w:val="21"/>
        </w:rPr>
        <w:t>D7 v2.1 is complete as a research and review package. The Local, Sensitivity and Shadow V2 tracks, frozen method assets, validation, plotting data, figures, reports and audit records are present and reproducible.</w:t>
      </w:r>
    </w:p>
    <w:p>
      <w:pPr>
        <w:spacing w:before="100" w:after="180"/>
        <w:ind w:left="259" w:right="259"/>
        <w:shd w:fill="F7E7E5"/>
      </w:pPr>
      <w:r>
        <w:rPr>
          <w:rFonts w:ascii="Arial" w:hAnsi="Arial" w:eastAsia="Microsoft YaHei"/>
          <w:b/>
          <w:color w:val="8B2E2E"/>
          <w:sz w:val="21"/>
        </w:rPr>
        <w:t>Production release is blocked: topology/asset identity is unverified, 53 of 56 templates remain L1, and swap Top-1 is 0.75 versus the 0.80 target. D7_total, D7_forDQR and D6 final arbitration therefore remain empty.</w:t>
      </w:r>
    </w:p>
    <w:p>
      <w:pPr>
        <w:pStyle w:val="Heading1"/>
      </w:pPr>
      <w:r>
        <w:t>2. Scope and dimensional independence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 evaluates spatial role identity and structural representativeness, not hardware fault type.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D1 covers sensor-intrinsic health; D2 covers continuity/availability; D4 covers physical value/rate constraints; D6 covers temporal synchronization between parallel counterparts.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Local D7 consumes no D1-D6 score, state or event. D1/D2/D4 appear only in the isolated Sensitivity Track.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QR/QIR provide exogenous context only. Low D7_raw is unlabeled structural evidence, not a confirmed fault.</w:t>
      </w:r>
    </w:p>
    <w:p>
      <w:r>
        <w:br w:type="page"/>
      </w:r>
    </w:p>
    <w:p>
      <w:pPr>
        <w:pStyle w:val="Heading1"/>
      </w:pPr>
      <w:r>
        <w:t>3. Current data and outputs</w:t>
      </w:r>
    </w:p>
    <w:p>
      <w:r>
        <w:rPr>
          <w:rFonts w:ascii="Arial" w:hAnsi="Arial" w:eastAsia="Microsoft YaHei"/>
          <w:color w:val="25282A"/>
          <w:sz w:val="21"/>
        </w:rPr>
        <w:t>Sensitivity provenance is bound to frozen D1 release D1REL-1.3.0-f6074be3751f and exact D2/D4/Local artifact hashes. Production arbitration remains pending_not_produced; no D7_forDQR output was generated.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376"/>
        <w:gridCol w:w="47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Measure</w:t>
            </w:r>
          </w:p>
        </w:tc>
        <w:tc>
          <w:tcPr>
            <w:tcW w:type="dxa" w:w="237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Current result</w:t>
            </w:r>
          </w:p>
        </w:tc>
        <w:tc>
          <w:tcPr>
            <w:tcW w:type="dxa" w:w="4752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Hourly windows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86,016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2025-08-01 00:00:00 to 2026-04-13 23:00:00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 raw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mean 3.155; median 3.186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Comparative research 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Low-score fraction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43.8%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Not a fault prevalence estimate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Candidate events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499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Unreviewed and unlabeled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OOD hold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17.1%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Explicit posterior rejection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 total / D6 evaluable</w:t>
            </w:r>
          </w:p>
        </w:tc>
        <w:tc>
          <w:tcPr>
            <w:tcW w:type="dxa" w:w="237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 / 0</w:t>
            </w:r>
          </w:p>
        </w:tc>
        <w:tc>
          <w:tcPr>
            <w:tcW w:type="dxa" w:w="4752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Correctly blocked</w:t>
            </w:r>
          </w:p>
        </w:tc>
      </w:tr>
    </w:tbl>
    <w:p>
      <w:pPr>
        <w:spacing w:after="40"/>
      </w:pPr>
    </w:p>
    <w:p>
      <w:pPr>
        <w:pStyle w:val="Heading1"/>
      </w:pPr>
      <w:r>
        <w:t>4. Support and applicability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584"/>
        <w:gridCol w:w="6336"/>
      </w:tblGrid>
      <w:tr>
        <w:trPr>
          <w:tblHeader w:val="true"/>
          <w:cantSplit/>
        </w:trPr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Tier</w:t>
            </w:r>
          </w:p>
        </w:tc>
        <w:tc>
          <w:tcPr>
            <w:tcW w:type="dxa" w:w="15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Templates</w:t>
            </w:r>
          </w:p>
        </w:tc>
        <w:tc>
          <w:tcPr>
            <w:tcW w:type="dxa" w:w="633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Policy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53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Gating eligible only after all contracts pass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L2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3</w:t>
            </w:r>
          </w:p>
        </w:tc>
        <w:tc>
          <w:tcPr>
            <w:tcW w:type="dxa" w:w="633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Gating eligible only after all contracts pass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ORP is forced to L1 diagonal robust Z with alpha=1.00 and cannot auto-promote. Missing, OOD and limited evidence is represented by status and NaN, never by a fabricated low production score.</w:t>
      </w:r>
    </w:p>
    <w:p>
      <w:r>
        <w:br w:type="page"/>
      </w:r>
    </w:p>
    <w:p>
      <w:pPr>
        <w:pStyle w:val="Heading1"/>
      </w:pPr>
      <w:r>
        <w:t>5. Validation and sensitivity</w:t>
      </w:r>
    </w:p>
    <w:tbl>
      <w:tblPr>
        <w:tblStyle w:val="TableGrid"/>
        <w:tblW w:type="dxa" w:w="7992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1440"/>
        <w:gridCol w:w="1728"/>
        <w:gridCol w:w="1440"/>
      </w:tblGrid>
      <w:tr>
        <w:trPr>
          <w:tblHeader w:val="true"/>
          <w:cantSplit/>
        </w:trPr>
        <w:tc>
          <w:tcPr>
            <w:tcW w:type="dxa" w:w="3384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Criterion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swap_AUROC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0.917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0.90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swap_AUPRC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0.928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swap_Top1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0.750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 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common_mode_FAR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0.061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zone_coherent_FAR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0.039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0.10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switch_chatter_rate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0.000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 0.05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</w:tbl>
    <w:p>
      <w:pPr>
        <w:spacing w:after="40"/>
      </w:pPr>
    </w:p>
    <w:p>
      <w:r>
        <w:rPr>
          <w:rFonts w:ascii="Arial" w:hAnsi="Arial" w:eastAsia="Microsoft YaHei"/>
          <w:color w:val="25282A"/>
          <w:sz w:val="21"/>
        </w:rPr>
        <w:t>Same-line position swaps are scored with frozen templates. Freeze, temporal ramps, common/zone-coherent changes, DO4 floor behavior and dropout are orthogonality controls. Detection and FAR pass, but node localization remains below release quality.</w:t>
      </w:r>
    </w:p>
    <w:tbl>
      <w:tblPr>
        <w:tblStyle w:val="TableGrid"/>
        <w:tblW w:type="dxa" w:w="792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1440"/>
        <w:gridCol w:w="2160"/>
        <w:gridCol w:w="144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 metric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Estimate</w:t>
            </w:r>
          </w:p>
        </w:tc>
        <w:tc>
          <w:tcPr>
            <w:tcW w:type="dxa" w:w="216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Target</w:t>
            </w:r>
          </w:p>
        </w:tc>
        <w:tc>
          <w:tcPr>
            <w:tcW w:type="dxa" w:w="14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IE_track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0.043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&lt;=0.20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event_jaccard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0.839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culprit_spearman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0.979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&gt;=0.80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</w:pPr>
      <w:r>
        <w:t>6. Topology and D6 interface</w:t>
      </w:r>
    </w:p>
    <w:p>
      <w:r>
        <w:rPr>
          <w:rFonts w:ascii="Arial" w:hAnsi="Arial" w:eastAsia="Microsoft YaHei"/>
          <w:color w:val="25282A"/>
          <w:sz w:val="21"/>
        </w:rPr>
        <w:t>The declared registry contains 14 nodes, 10 longitudinal edges and seven peer pairs. 5 finite candidate mappings exceed the report-only review threshold. They cannot mutate production topology or activate Veto.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Topology drawing, coordinates, asset IDs, serial numbers and two-person approval remain pending.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D7-to-D6 zone consensus is present but every row is non-evaluable for final arbitration.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D6 protected columns remain unchanged because no D6 write path exists.</w:t>
      </w:r>
    </w:p>
    <w:p>
      <w:r>
        <w:br w:type="page"/>
      </w:r>
    </w:p>
    <w:p>
      <w:pPr>
        <w:pStyle w:val="Heading1"/>
      </w:pPr>
      <w:r>
        <w:t>7. SCI figure review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036749"/>
            <wp:docPr id="1" name="Picture 1" descr="Figure D7-1 | Declared topology, applicability and release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1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36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D7-1 | Declared topology, applicability and release boundary.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010055"/>
            <wp:docPr id="2" name="Picture 2" descr="Figure D7-2 | Spatiotemporal D7 structure and effective sup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2_spatio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10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D7-2 | Spatiotemporal D7 structure and effective support.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932264"/>
            <wp:docPr id="3" name="Picture 3" descr="Figure D7-3 | Evidence decomposition, node influence and zone consens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3_ev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2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D7-3 | Evidence decomposition, node influence and zone consensus.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239772"/>
            <wp:docPr id="4" name="Picture 4" descr="Figure D7-4 | Validation and Local-Sensitivity invari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4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3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D7-4 | Validation and Local-Sensitivity invariance.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316649"/>
            <wp:docPr id="5" name="Picture 5" descr="Figure D7-5 | Support, regime, topology and release gover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D7_5_governa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16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Microsoft YaHei"/>
          <w:i/>
          <w:color w:val="5F6B73"/>
          <w:sz w:val="17"/>
        </w:rPr>
        <w:t>Figure D7-5 | Support, regime, topology and release governance.</w:t>
      </w:r>
    </w:p>
    <w:p>
      <w:pPr>
        <w:pStyle w:val="Heading1"/>
      </w:pPr>
      <w:r>
        <w:t>8. Critical limitations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Field topology and asset identity are not verified or dual-approved.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Effective support is inadequate for production gating in 53 of 56 templates.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Swap Top-1 is 0.75, below the 0.80 target.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The 499 candidate events lack external truth and cannot be called confirmed faults.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Regime transition FAR and topology candidate recall require external truth.</w:t>
      </w:r>
    </w:p>
    <w:p>
      <w:pPr>
        <w:pStyle w:val="Heading1"/>
      </w:pPr>
      <w:r>
        <w:t>9. Release decision</w:t>
      </w:r>
    </w:p>
    <w:p>
      <w:r>
        <w:rPr>
          <w:rFonts w:ascii="Arial" w:hAnsi="Arial" w:eastAsia="Microsoft YaHei"/>
          <w:color w:val="25282A"/>
          <w:sz w:val="21"/>
        </w:rPr>
        <w:t>The branch is suitable for expert review and merge as a research implementation with explicit production gates. It is not suitable for activation in WW-DQS/DQR arbitration.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Complete field mapping and obtain two independent approvals.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Regenerate all topology-bound templates and hashes.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Accumulate qualified multi-season effective blocks and pass support exit criteria.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Raise blocked-holdout Top-1 to at least 0.80 without weakening negative-control FAR.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Add prospective field-confirmed cases before activating D7_total or D6 final arbitration.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2026-07-22 17:24 CST | Research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D7 v2.1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