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游戏账号交易平台</w:t>
        <w:br/>
        <w:t>产品需求规格说明书（PRD）</w:t>
      </w:r>
    </w:p>
    <w:p>
      <w:r>
        <w:rPr>
          <w:rFonts w:ascii="Microsoft YaHei" w:hAnsi="Microsoft YaHei" w:eastAsia="Microsoft YaHei"/>
          <w:b w:val="0"/>
          <w:sz w:val="21"/>
        </w:rPr>
        <w:t>文档版本：V1.0 | 编制依据：客户提供《PRD与报价整合版》整理（济源游戏账号交易平台，四端）</w:t>
      </w:r>
    </w:p>
    <w:p>
      <w:r>
        <w:rPr>
          <w:rFonts w:ascii="Microsoft YaHei" w:hAnsi="Microsoft YaHei" w:eastAsia="Microsoft YaHei"/>
          <w:b w:val="0"/>
          <w:sz w:val="21"/>
        </w:rPr>
        <w:t>说明：本文档侧重产品与验收规格；商务报价以双方另行确认的报价附件为准。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 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修订日期</w:t>
            </w:r>
          </w:p>
        </w:tc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修订说明</w:t>
            </w:r>
          </w:p>
        </w:tc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作者/角色</w:t>
            </w:r>
          </w:p>
        </w:tc>
      </w:tr>
      <w:tr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待业务确认</w:t>
            </w:r>
          </w:p>
        </w:tc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基于客户原文档首次独立整理为 PRD 结构</w:t>
            </w:r>
          </w:p>
        </w:tc>
        <w:tc>
          <w:tcPr>
            <w:tcW w:type="dxa" w:w="235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项目组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  背景与目标</w:t>
      </w:r>
    </w:p>
    <w:p>
      <w:pPr>
        <w:pStyle w:val="Heading2"/>
      </w:pPr>
      <w:r>
        <w:rPr>
          <w:rFonts w:ascii="Microsoft YaHei" w:hAnsi="Microsoft YaHei" w:eastAsia="Microsoft YaHei"/>
        </w:rPr>
        <w:t>2.1  背景</w:t>
      </w:r>
    </w:p>
    <w:p>
      <w:r>
        <w:rPr>
          <w:rFonts w:ascii="Microsoft YaHei" w:hAnsi="Microsoft YaHei" w:eastAsia="Microsoft YaHei"/>
          <w:b w:val="0"/>
          <w:sz w:val="21"/>
        </w:rPr>
        <w:t>拟建设面向游戏账号、游戏金币、游戏道具及中介担保类服务的综合交易平台，服务买家、卖家、代理、客服、运营、财务及后台管理员，覆盖商品发布与审核、浏览选购、下单支付、订单沟通、换绑验号、售后退款、提现分账、推广返利等交易环节。</w:t>
      </w:r>
    </w:p>
    <w:p>
      <w:r>
        <w:rPr>
          <w:rFonts w:ascii="Microsoft YaHei" w:hAnsi="Microsoft YaHei" w:eastAsia="Microsoft YaHei"/>
          <w:b w:val="0"/>
          <w:sz w:val="21"/>
        </w:rPr>
        <w:t>甲方对界面品质与多端呈现要求较高：PC Web、H5、Android APP、iOS APP 需分别进行布局与交互设计，不宜以单端页面简单缩放替代；视觉方向为暗色、游戏化、沉浸式展示（具体以双方确认的设计稿为准）。</w:t>
      </w:r>
    </w:p>
    <w:p>
      <w:pPr>
        <w:pStyle w:val="Heading2"/>
      </w:pPr>
      <w:r>
        <w:rPr>
          <w:rFonts w:ascii="Microsoft YaHei" w:hAnsi="Microsoft YaHei" w:eastAsia="Microsoft YaHei"/>
        </w:rPr>
        <w:t>2.2  目标</w:t>
      </w:r>
    </w:p>
    <w:p>
      <w:r>
        <w:rPr>
          <w:rFonts w:ascii="Microsoft YaHei" w:hAnsi="Microsoft YaHei" w:eastAsia="Microsoft YaHei"/>
          <w:b/>
          <w:sz w:val="21"/>
        </w:rPr>
        <w:t>业务目标（摘自需求整理，粒度以可验收为准）：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目标描述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G1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统一承载账号、金币、道具、中介担保等交易类型的前台与后台闭环。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G2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买家可按游戏、区服、价格、账号属性等条件检索与下单。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G3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卖家可发布商品并经平台审核后上架。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G4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支持担保交易、包赔与保险档位、电子合同、订单群聊与人工售后链路。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G5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支持微信支付、支付宝支付、退款；支持四方支付/分账及卖家提现（资质与服务商待业务确认）。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G6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支持推广邀请、优惠券、积分商城、收藏、足迹、出价等运营能力。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G7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支持代理授权与人工估号，支撑平台回收、代理报价及客服介入。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  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订单群聊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订单生成后买卖双方进入的即时通讯会话（需求建议对接腾讯 IM，具体以选型为准）。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包赔/保险套餐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下单时可选的保障档位（如普通包赔、双倍包赔、充值包赔），影响订单金额。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四方支付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除微信、支付宝外的聚合/分账类支付通道，接口与资质待业务确认。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人工估号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用户提交属性与截图，由平台评估回收价格并反馈。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代理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经后台授权的角色，可发布代理范围内商品并参与回收/报价；毁约次数与扣罚比例可后台配置（数值待业务确认）。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  范围</w:t>
      </w:r>
    </w:p>
    <w:p>
      <w:pPr>
        <w:pStyle w:val="Heading2"/>
      </w:pPr>
      <w:r>
        <w:rPr>
          <w:rFonts w:ascii="Microsoft YaHei" w:hAnsi="Microsoft YaHei" w:eastAsia="Microsoft YaHei"/>
        </w:rPr>
        <w:t>4.1  交付端口（In Scope）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端口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定位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主要职责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PC Web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桌面浏览器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首页与交易主流程大屏体验；列表、详情、下单、订单、消息、个人中心等。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H5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移动浏览器/分享落地页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独立移动端 UI；注册登录、浏览、下单、支付、个人中心、推广邀请等。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Android APP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安卓客户端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完整交易链路；推送、钱包提现、订单群聊、实名与人脸核验等。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iOS APP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苹果客户端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完整交易链路；安全区与高分屏适配；支付、聊天、上传、实名等。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管理后台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运营与内部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用户、商品、订单、支付、提现、退款、游戏与属性配置、优惠券、推广、代理、内容、权限与日志。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说明：本期范围未包含微信小程序；若后续纳入，应以补充 PRD 与变更评审为准。</w:t>
      </w:r>
    </w:p>
    <w:p>
      <w:pPr>
        <w:pStyle w:val="Heading2"/>
      </w:pPr>
      <w:r>
        <w:rPr>
          <w:rFonts w:ascii="Microsoft YaHei" w:hAnsi="Microsoft YaHei" w:eastAsia="Microsoft YaHei"/>
        </w:rPr>
        <w:t>4.2  不包含或后续迭代（Out of Scope / Phase 2）</w:t>
      </w:r>
    </w:p>
    <w:p>
      <w:r>
        <w:rPr>
          <w:rFonts w:ascii="Microsoft YaHei" w:hAnsi="Microsoft YaHei" w:eastAsia="Microsoft YaHei"/>
          <w:b w:val="0"/>
          <w:sz w:val="21"/>
        </w:rPr>
        <w:t>以下摘自客户原文“二期扩展”意向，不作为本期验收依据，除非你方书面纳入本期范围：</w:t>
      </w:r>
    </w:p>
    <w:p>
      <w:r>
        <w:rPr>
          <w:rFonts w:ascii="Microsoft YaHei" w:hAnsi="Microsoft YaHei" w:eastAsia="Microsoft YaHei"/>
          <w:b w:val="0"/>
          <w:sz w:val="21"/>
        </w:rPr>
        <w:t>更复杂的竞价交易大厅；自动估价算法与历史成交价智能推荐；账号安全自动化检测；</w:t>
      </w:r>
    </w:p>
    <w:p>
      <w:r>
        <w:rPr>
          <w:rFonts w:ascii="Microsoft YaHei" w:hAnsi="Microsoft YaHei" w:eastAsia="Microsoft YaHei"/>
          <w:b w:val="0"/>
          <w:sz w:val="21"/>
        </w:rPr>
        <w:t>直播式账号展示；多级代理业绩结算扩展；AI 客服与售后自动分流；</w:t>
      </w:r>
    </w:p>
    <w:p>
      <w:r>
        <w:rPr>
          <w:rFonts w:ascii="Microsoft YaHei" w:hAnsi="Microsoft YaHei" w:eastAsia="Microsoft YaHei"/>
          <w:b w:val="0"/>
          <w:sz w:val="21"/>
        </w:rPr>
        <w:t>多语言与海外支付；自研风控模型、黑名单共享、异常识别等高级能力。</w:t>
      </w:r>
    </w:p>
    <w:p>
      <w:pPr>
        <w:pStyle w:val="Heading1"/>
      </w:pPr>
      <w:r>
        <w:rPr>
          <w:rFonts w:ascii="Microsoft YaHei" w:hAnsi="Microsoft YaHei" w:eastAsia="Microsoft YaHei"/>
        </w:rPr>
        <w:t>5  用户角色与权限概要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主要职责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典型权限摘要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游客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了解平台与商品信息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首页、列表、帮助与平台安全介绍等可读范围待业务确认。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注册用户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通用账户能力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登录、浏览、收藏、出价前准备；交易前完成实名与人脸核验。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买家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购买与履约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下单、支付、保险选择、签署协议（若适用）、进群聊、申请售后。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卖家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发布与交付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发布与维护商品、接收出价、履约、提现。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代理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代理发布与报价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在授权范围内发布、报价；毁约记录与权限回收规则后台可配置。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客服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撮合与售后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人工估号、群内协助、售后处理。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审核员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内容与资金安全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商品、提现、退款、实名材料等审核。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财务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资金与对账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支付流水、退款、提现、分账与对账视图。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运营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配置与活动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游戏、属性模板、优惠券、推广、内容位。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系统治理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账号、角色、菜单、系统配置与日志。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  核心业务流程</w:t>
      </w:r>
    </w:p>
    <w:p>
      <w:pPr>
        <w:pStyle w:val="Heading2"/>
      </w:pPr>
      <w:r>
        <w:rPr>
          <w:rFonts w:ascii="Microsoft YaHei" w:hAnsi="Microsoft YaHei" w:eastAsia="Microsoft YaHei"/>
        </w:rPr>
        <w:t>6.1  注册登录</w:t>
      </w:r>
    </w:p>
    <w:p>
      <w:r>
        <w:rPr>
          <w:rFonts w:ascii="Microsoft YaHei" w:hAnsi="Microsoft YaHei" w:eastAsia="Microsoft YaHei"/>
          <w:b w:val="0"/>
          <w:sz w:val="21"/>
        </w:rPr>
        <w:t>入口：首页登录/注册。</w:t>
      </w:r>
    </w:p>
    <w:p>
      <w:r>
        <w:rPr>
          <w:rFonts w:ascii="Microsoft YaHei" w:hAnsi="Microsoft YaHei" w:eastAsia="Microsoft YaHei"/>
          <w:b w:val="0"/>
          <w:sz w:val="21"/>
        </w:rPr>
        <w:t>方式：手机号 + 短信验证码；须勾选《用户协议》《隐私政策》后方可继续。</w:t>
      </w:r>
    </w:p>
    <w:p>
      <w:r>
        <w:rPr>
          <w:rFonts w:ascii="Microsoft YaHei" w:hAnsi="Microsoft YaHei" w:eastAsia="Microsoft YaHei"/>
          <w:b w:val="0"/>
          <w:sz w:val="21"/>
        </w:rPr>
        <w:t>约束：验证码频控与有效期；首次登录创建用户标识；涉交易前须完成实名与人脸识别。</w:t>
      </w:r>
    </w:p>
    <w:p>
      <w:pPr>
        <w:pStyle w:val="Heading2"/>
      </w:pPr>
      <w:r>
        <w:rPr>
          <w:rFonts w:ascii="Microsoft YaHei" w:hAnsi="Microsoft YaHei" w:eastAsia="Microsoft YaHei"/>
        </w:rPr>
        <w:t>6.2  买家购买</w:t>
      </w:r>
    </w:p>
    <w:p>
      <w:r>
        <w:rPr>
          <w:rFonts w:ascii="Microsoft YaHei" w:hAnsi="Microsoft YaHei" w:eastAsia="Microsoft YaHei"/>
          <w:b w:val="0"/>
          <w:sz w:val="21"/>
        </w:rPr>
        <w:t>选择交易类型（账号/金币/道具/中介担保）→ 选择游戏 → 列表筛选/排序 → 详情 → 收藏或直接购买。</w:t>
      </w:r>
    </w:p>
    <w:p>
      <w:r>
        <w:rPr>
          <w:rFonts w:ascii="Microsoft YaHei" w:hAnsi="Microsoft YaHei" w:eastAsia="Microsoft YaHei"/>
          <w:b w:val="0"/>
          <w:sz w:val="21"/>
        </w:rPr>
        <w:t>下单页：角色信息、联系方式、保险套餐、优惠券、推荐码（仅账号类交易记录返利关系）、支付方式、协议勾选。</w:t>
      </w:r>
    </w:p>
    <w:p>
      <w:r>
        <w:rPr>
          <w:rFonts w:ascii="Microsoft YaHei" w:hAnsi="Microsoft YaHei" w:eastAsia="Microsoft YaHei"/>
          <w:b w:val="0"/>
          <w:sz w:val="21"/>
        </w:rPr>
        <w:t>支付成功后生成订单群聊；买卖双方通过群聊完成发货、换绑、验号与确认；异常走售后/客服。</w:t>
      </w:r>
    </w:p>
    <w:p>
      <w:pPr>
        <w:pStyle w:val="Heading2"/>
      </w:pPr>
      <w:r>
        <w:rPr>
          <w:rFonts w:ascii="Microsoft YaHei" w:hAnsi="Microsoft YaHei" w:eastAsia="Microsoft YaHei"/>
        </w:rPr>
        <w:t>6.3  卖家发布</w:t>
      </w:r>
    </w:p>
    <w:p>
      <w:r>
        <w:rPr>
          <w:rFonts w:ascii="Microsoft YaHei" w:hAnsi="Microsoft YaHei" w:eastAsia="Microsoft YaHei"/>
          <w:b w:val="0"/>
          <w:sz w:val="21"/>
        </w:rPr>
        <w:t>选择类型与游戏 → 填写交易信息、亮点、截图、属性（按游戏模板动态展示）→ 预览 → 提交审核。</w:t>
      </w:r>
    </w:p>
    <w:p>
      <w:r>
        <w:rPr>
          <w:rFonts w:ascii="Microsoft YaHei" w:hAnsi="Microsoft YaHei" w:eastAsia="Microsoft YaHei"/>
          <w:b w:val="0"/>
          <w:sz w:val="21"/>
        </w:rPr>
        <w:t>系统生成商品编号；审核通过后上架；卖家中心维护出售中/已售/下架等状态。</w:t>
      </w:r>
    </w:p>
    <w:p>
      <w:pPr>
        <w:pStyle w:val="Heading2"/>
      </w:pPr>
      <w:r>
        <w:rPr>
          <w:rFonts w:ascii="Microsoft YaHei" w:hAnsi="Microsoft YaHei" w:eastAsia="Microsoft YaHei"/>
        </w:rPr>
        <w:t>6.4  砍价与出价</w:t>
      </w:r>
    </w:p>
    <w:p>
      <w:r>
        <w:rPr>
          <w:rFonts w:ascii="Microsoft YaHei" w:hAnsi="Microsoft YaHei" w:eastAsia="Microsoft YaHei"/>
          <w:b w:val="0"/>
          <w:sz w:val="21"/>
        </w:rPr>
        <w:t>买家发起报价；系统可按商品价比例收取报价定金（默认 10%，后台可配置）。卖家同意后买家支付尾款进入正式交易；拒绝或超时情形下定金处理规则待业务确认（需写入运营规则与后台配置项）。</w:t>
      </w:r>
    </w:p>
    <w:p>
      <w:pPr>
        <w:pStyle w:val="Heading2"/>
      </w:pPr>
      <w:r>
        <w:rPr>
          <w:rFonts w:ascii="Microsoft YaHei" w:hAnsi="Microsoft YaHei" w:eastAsia="Microsoft YaHei"/>
        </w:rPr>
        <w:t>6.5  合同签署</w:t>
      </w:r>
    </w:p>
    <w:p>
      <w:r>
        <w:rPr>
          <w:rFonts w:ascii="Microsoft YaHei" w:hAnsi="Microsoft YaHei" w:eastAsia="Microsoft YaHei"/>
          <w:b w:val="0"/>
          <w:sz w:val="21"/>
        </w:rPr>
        <w:t>订单进入交付阶段后，系统依据商品与订单信息生成合同文本，对接电子签服务（原文述及法大大）。签署主体、模板与法律效力由客户法务确认。卖家完成合同相关要求后方可提现的规则以运营政策为准。</w:t>
      </w:r>
    </w:p>
    <w:p>
      <w:pPr>
        <w:pStyle w:val="Heading2"/>
      </w:pPr>
      <w:r>
        <w:rPr>
          <w:rFonts w:ascii="Microsoft YaHei" w:hAnsi="Microsoft YaHei" w:eastAsia="Microsoft YaHei"/>
        </w:rPr>
        <w:t>6.6  提现</w:t>
      </w:r>
    </w:p>
    <w:p>
      <w:r>
        <w:rPr>
          <w:rFonts w:ascii="Microsoft YaHei" w:hAnsi="Microsoft YaHei" w:eastAsia="Microsoft YaHei"/>
          <w:b w:val="0"/>
          <w:sz w:val="21"/>
        </w:rPr>
        <w:t>用户绑定微信或支付宝提现账户 → 发起申请 → 后台人工审核 → 打款与记录 → 手续费是否收取由后台配置。</w:t>
      </w:r>
    </w:p>
    <w:p>
      <w:pPr>
        <w:pStyle w:val="Heading2"/>
      </w:pPr>
      <w:r>
        <w:rPr>
          <w:rFonts w:ascii="Microsoft YaHei" w:hAnsi="Microsoft YaHei" w:eastAsia="Microsoft YaHei"/>
        </w:rPr>
        <w:t>6.7  人工估号与代理</w:t>
      </w:r>
    </w:p>
    <w:p>
      <w:r>
        <w:rPr>
          <w:rFonts w:ascii="Microsoft YaHei" w:hAnsi="Microsoft YaHei" w:eastAsia="Microsoft YaHei"/>
          <w:b w:val="0"/>
          <w:sz w:val="21"/>
        </w:rPr>
        <w:t>人工估号：选游戏 → 填报属性 → 上传截图 → 客服评估报价 → 用户确认后转入私聊或订单流程。代理：后台授权 → 代理按范围发布并可选择平台交易或代理回收类型 → 卖方同意报价后拉群；毁约次数超阈值取消代理身份、按报价比例扣罚等规则可由后台配置，具体数值待业务确认。</w:t>
      </w:r>
    </w:p>
    <w:p>
      <w:pPr>
        <w:pStyle w:val="Heading1"/>
      </w:pPr>
      <w:r>
        <w:rPr>
          <w:rFonts w:ascii="Microsoft YaHei" w:hAnsi="Microsoft YaHei" w:eastAsia="Microsoft YaHei"/>
        </w:rPr>
        <w:t>7  功能需求（按端）</w:t>
      </w:r>
    </w:p>
    <w:p>
      <w:r>
        <w:rPr>
          <w:rFonts w:ascii="Microsoft YaHei" w:hAnsi="Microsoft YaHei" w:eastAsia="Microsoft YaHei"/>
          <w:b w:val="0"/>
          <w:sz w:val="21"/>
        </w:rPr>
        <w:t>下列功能以客户原文需求为基准归纳。若同一能力在多端均需实现，“适用端”列明；细节以界面原型与设计评审纪要为准。</w:t>
      </w:r>
    </w:p>
    <w:p>
      <w:pPr>
        <w:pStyle w:val="Heading2"/>
      </w:pPr>
      <w:r>
        <w:rPr>
          <w:rFonts w:ascii="Microsoft YaHei" w:hAnsi="Microsoft YaHei" w:eastAsia="Microsoft YaHei"/>
        </w:rPr>
        <w:t>7.1  共性：体验设计与资源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条目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需求说明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适用端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独立多端设计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PC、H5、双端 APP 分别出稿与适配，不得以简单缩放代替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PC / H5 / Android / iOS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暗色游戏化视觉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品牌色、玻璃拟态导航、订单侧栏、步骤化表单等按设计稿验收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全用户端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高清素材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首页与关键页背景多端规格；图标 SVG 优先；商品多图分级加载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全用户端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微动效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首屏、导航、卡片、侧栏、弹窗等动效须有降级策略，不得阻碍支付与实名流程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全用户端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前端静态里程碑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核心页面可先以静态还原供视觉验收（与项目计划挂钩）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按阶段约定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7.2  PC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登录注册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手机号验证码、协议勾选与查看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预约人数展示、买点/卖点入口、平台安全说明、帮助、回收入口、背包/积分商城入口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选购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游戏选择（含索引/热门等）、四类交易入口、列表/筛选/详情/收藏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交易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订单确认（保险、优惠、推荐码）、支付、支付结果与订单入口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出售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发布流程、属性模板、预览、提交审核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我的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资料、钱包、提现、记录、卡包、收藏、足迹、出价、交易记录、推广、实名绑定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消息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系统消息、订单群聊、私信、文件图片、砍价相关会话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订单中心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买卖身份切换、状态筛选、退款售后、合同入口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7.3  H5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账户与协议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同 PC 规则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重点适配微信内置浏览器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交易主路径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浏览、下单、支付、订单与个人中心核心能力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与 PC 同源业务，独立布局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推广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邀请码与分享落地链路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7.4  Android APP / iOS APP</w:t>
      </w:r>
    </w:p>
    <w:p>
      <w:r>
        <w:rPr>
          <w:rFonts w:ascii="Microsoft YaHei" w:hAnsi="Microsoft YaHei" w:eastAsia="Microsoft YaHei"/>
          <w:b/>
          <w:sz w:val="21"/>
        </w:rPr>
        <w:t>双端业务能力对齐；差异项主要在于系统能力适配（推送权限、相册与文件、安全区、应用商店合规等）。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账户与安全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登录注册、实名、人脸识别前置拦截交易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交易全流程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与 PC/H5 同构业务闭环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IM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订单群聊、私信、图片/文件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钱包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余额与积分视图、提现、流水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系统集成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支付调起、推送（规则待业务确认）</w:t>
            </w:r>
          </w:p>
        </w:tc>
        <w:tc>
          <w:tcPr>
            <w:tcW w:type="dxa" w:w="3135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7.5  管理后台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能力说明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数据看板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用户数、交易额、订单、待审核/待售后/待提现等统计项以最终字段清单为准。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列表、实名状态、钱包与积分、封禁、代理授权。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游戏与属性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游戏维护、Logo、排序、热门；按游戏配置动态属性与筛选项。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商品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审核、上下架、违规处理、编辑与图审。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列表、状态流转、详情、售后、合同记录入口。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资金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支付流水、退款、分账、提现审核、手续费配置。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运营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优惠券、积分商品、推广规则与发放记录。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代理与估号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代理授权、毁约记录；估号单处理与报价反馈。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内容与 IM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首页安全/帮助/交易提醒/协议等配置；IM 会话与敏感内容策略待细化。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系统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角色、菜单、权限、操作与资金审计日志。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7.6  状态与数据（摘要）</w:t>
      </w:r>
    </w:p>
    <w:p>
      <w:r>
        <w:rPr>
          <w:rFonts w:ascii="Microsoft YaHei" w:hAnsi="Microsoft YaHei" w:eastAsia="Microsoft YaHei"/>
          <w:b w:val="0"/>
          <w:sz w:val="21"/>
        </w:rPr>
        <w:t>商品状态：草稿、待审核、审核驳回、出售中、交易锁定、已售出、已下架、违规冻结等。</w:t>
      </w:r>
    </w:p>
    <w:p>
      <w:r>
        <w:rPr>
          <w:rFonts w:ascii="Microsoft YaHei" w:hAnsi="Microsoft YaHei" w:eastAsia="Microsoft YaHei"/>
          <w:b w:val="0"/>
          <w:sz w:val="21"/>
        </w:rPr>
        <w:t>订单状态：待支付、已取消、已支付、交易中、待签约、待验号、待确认、已完成、售后中、已退款、异常关闭等。</w:t>
      </w:r>
    </w:p>
    <w:p>
      <w:r>
        <w:rPr>
          <w:rFonts w:ascii="Microsoft YaHei" w:hAnsi="Microsoft YaHei" w:eastAsia="Microsoft YaHei"/>
          <w:b w:val="0"/>
          <w:sz w:val="21"/>
        </w:rPr>
        <w:t>提现与售后状态：按原文档状态机实现，后台须可查询与操作留痕。</w:t>
      </w:r>
    </w:p>
    <w:p>
      <w:pPr>
        <w:pStyle w:val="Heading1"/>
      </w:pPr>
      <w:r>
        <w:rPr>
          <w:rFonts w:ascii="Microsoft YaHei" w:hAnsi="Microsoft YaHei" w:eastAsia="Microsoft YaHei"/>
        </w:rPr>
        <w:t>8  非功能需求</w:t>
      </w:r>
    </w:p>
    <w:p>
      <w:pPr>
        <w:pStyle w:val="Heading2"/>
      </w:pPr>
      <w:r>
        <w:rPr>
          <w:rFonts w:ascii="Microsoft YaHei" w:hAnsi="Microsoft YaHei" w:eastAsia="Microsoft YaHei"/>
        </w:rPr>
        <w:t>8.1  性能</w:t>
      </w:r>
    </w:p>
    <w:p>
      <w:r>
        <w:rPr>
          <w:rFonts w:ascii="Microsoft YaHei" w:hAnsi="Microsoft YaHei" w:eastAsia="Microsoft YaHei"/>
          <w:b w:val="0"/>
          <w:sz w:val="21"/>
        </w:rPr>
        <w:t>PC 首屏关键内容建议 3 秒内可见（以双方测试环境网络条件为基准）。</w:t>
      </w:r>
    </w:p>
    <w:p>
      <w:r>
        <w:rPr>
          <w:rFonts w:ascii="Microsoft YaHei" w:hAnsi="Microsoft YaHei" w:eastAsia="Microsoft YaHei"/>
          <w:b w:val="0"/>
          <w:sz w:val="21"/>
        </w:rPr>
        <w:t>列表分页或懒加载；商品图缩略图/详情图/原图分级加载；H5 与 APP 启用懒加载与缓存。</w:t>
      </w:r>
    </w:p>
    <w:p>
      <w:r>
        <w:rPr>
          <w:rFonts w:ascii="Microsoft YaHei" w:hAnsi="Microsoft YaHei" w:eastAsia="Microsoft YaHei"/>
          <w:b w:val="0"/>
          <w:sz w:val="21"/>
        </w:rPr>
        <w:t>后台列表分页、筛选与索引优化。</w:t>
      </w:r>
    </w:p>
    <w:p>
      <w:pPr>
        <w:pStyle w:val="Heading2"/>
      </w:pPr>
      <w:r>
        <w:rPr>
          <w:rFonts w:ascii="Microsoft YaHei" w:hAnsi="Microsoft YaHei" w:eastAsia="Microsoft YaHei"/>
        </w:rPr>
        <w:t>8.2  安全</w:t>
      </w:r>
    </w:p>
    <w:p>
      <w:r>
        <w:rPr>
          <w:rFonts w:ascii="Microsoft YaHei" w:hAnsi="Microsoft YaHei" w:eastAsia="Microsoft YaHei"/>
          <w:b w:val="0"/>
          <w:sz w:val="21"/>
        </w:rPr>
        <w:t>全站 HTTPS；验证码防刷与有效期；支付/退款/分账回调验签。</w:t>
      </w:r>
    </w:p>
    <w:p>
      <w:r>
        <w:rPr>
          <w:rFonts w:ascii="Microsoft YaHei" w:hAnsi="Microsoft YaHei" w:eastAsia="Microsoft YaHei"/>
          <w:b w:val="0"/>
          <w:sz w:val="21"/>
        </w:rPr>
        <w:t>资金类操作全量流水与操作日志；后台 RBAC；上传文件类型与大小校验；敏感字段脱敏展示。</w:t>
      </w:r>
    </w:p>
    <w:p>
      <w:pPr>
        <w:pStyle w:val="Heading2"/>
      </w:pPr>
      <w:r>
        <w:rPr>
          <w:rFonts w:ascii="Microsoft YaHei" w:hAnsi="Microsoft YaHei" w:eastAsia="Microsoft YaHei"/>
        </w:rPr>
        <w:t>8.3  合规</w:t>
      </w:r>
    </w:p>
    <w:p>
      <w:r>
        <w:rPr>
          <w:rFonts w:ascii="Microsoft YaHei" w:hAnsi="Microsoft YaHei" w:eastAsia="Microsoft YaHei"/>
          <w:b w:val="0"/>
          <w:sz w:val="21"/>
        </w:rPr>
        <w:t>用户协议、隐私政策、交易与售后规则、服务费公示。</w:t>
      </w:r>
    </w:p>
    <w:p>
      <w:r>
        <w:rPr>
          <w:rFonts w:ascii="Microsoft YaHei" w:hAnsi="Microsoft YaHei" w:eastAsia="Microsoft YaHei"/>
          <w:b w:val="0"/>
          <w:sz w:val="21"/>
        </w:rPr>
        <w:t>虚拟资产交易风险提示与担保范围说明。</w:t>
      </w:r>
    </w:p>
    <w:p>
      <w:r>
        <w:rPr>
          <w:rFonts w:ascii="Microsoft YaHei" w:hAnsi="Microsoft YaHei" w:eastAsia="Microsoft YaHei"/>
          <w:b w:val="0"/>
          <w:sz w:val="21"/>
        </w:rPr>
        <w:t>实名与人脸获取用户授权；电子签模板与主体合法务确认。</w:t>
      </w:r>
    </w:p>
    <w:p>
      <w:r>
        <w:rPr>
          <w:rFonts w:ascii="Microsoft YaHei" w:hAnsi="Microsoft YaHei" w:eastAsia="Microsoft YaHei"/>
          <w:b w:val="0"/>
          <w:sz w:val="21"/>
        </w:rPr>
        <w:t>支付与分账遵循持牌机构与合作方规则，避免二清等合规风险（具体模式待业务与法务确认）。</w:t>
      </w:r>
    </w:p>
    <w:p>
      <w:pPr>
        <w:pStyle w:val="Heading2"/>
      </w:pPr>
      <w:r>
        <w:rPr>
          <w:rFonts w:ascii="Microsoft YaHei" w:hAnsi="Microsoft YaHei" w:eastAsia="Microsoft YaHei"/>
        </w:rPr>
        <w:t>8.4  兼容性（建议基线）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端口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范围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PC Web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Chrome、Edge、Safari、Firefox 当前主流版本。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H5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微信内置浏览器、iOS Safari、Android Chrome 等。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Android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Android 8.0 及以上（若需调整以商务机清单为准）。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iOS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iOS 13 及以上（若需调整以机型清单为准）。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管理后台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Chrome、Edge 最新稳定版。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9  数据与接口原则</w:t>
      </w:r>
    </w:p>
    <w:p>
      <w:r>
        <w:rPr>
          <w:rFonts w:ascii="Microsoft YaHei" w:hAnsi="Microsoft YaHei" w:eastAsia="Microsoft YaHei"/>
          <w:b w:val="0"/>
          <w:sz w:val="21"/>
        </w:rPr>
        <w:t>后端提供统一 REST 风格接口（示例路径以客户原文清单为初稿）；实际路径、字段与版本策略在实施阶段以《接口说明》冻结。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域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原则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认证与用户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短信登录、Profile、实名与人脸核验对接资质方。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商品与游戏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列表筛选参数与动态属性后台可配置，不写死枚举。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订单与支付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下单、支付、取消、履约确认、退款/售后闭环；异步回调幂等。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钱包营销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流水记账一致；优惠券与积分兑换可追溯。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IM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订单群创建、会话列表、私信与附件。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管理端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与前台数据同源；高危操作双人复核是否需要待业务确认。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核心实体摘要：用户、游戏、商品、订单、钱包流水、优惠券、邀请奖励等字段以客户原文「数据模型初稿」为基础，建模评审时可调整。</w:t>
      </w:r>
    </w:p>
    <w:p>
      <w:pPr>
        <w:pStyle w:val="Heading1"/>
      </w:pPr>
      <w:r>
        <w:rPr>
          <w:rFonts w:ascii="Microsoft YaHei" w:hAnsi="Microsoft YaHei" w:eastAsia="Microsoft YaHei"/>
        </w:rPr>
        <w:t>10  验收标准与里程碑</w:t>
      </w:r>
    </w:p>
    <w:p>
      <w:pPr>
        <w:pStyle w:val="Heading2"/>
      </w:pPr>
      <w:r>
        <w:rPr>
          <w:rFonts w:ascii="Microsoft YaHei" w:hAnsi="Microsoft YaHei" w:eastAsia="Microsoft YaHei"/>
        </w:rPr>
        <w:t>10.1  验收标准（摘要）</w:t>
      </w:r>
    </w:p>
    <w:p>
      <w:r>
        <w:rPr>
          <w:rFonts w:ascii="Microsoft YaHei" w:hAnsi="Microsoft YaHei" w:eastAsia="Microsoft YaHei"/>
          <w:b w:val="0"/>
          <w:sz w:val="21"/>
        </w:rPr>
        <w:t>用户体验验收：多端核心页面与高保真设计稿一致（允许经书面确认的变更）；暗色系下信息层级可读；动效不影响支付与实名制流程。</w:t>
      </w:r>
    </w:p>
    <w:p>
      <w:r>
        <w:rPr>
          <w:rFonts w:ascii="Microsoft YaHei" w:hAnsi="Microsoft YaHei" w:eastAsia="Microsoft YaHei"/>
          <w:b w:val="0"/>
          <w:sz w:val="21"/>
        </w:rPr>
        <w:t>业务验收覆盖：注册登录约束、选购与下单支付、订单群聊、卖家发布审核、钱包与提现、推广与优惠券链路、后台配置与审核、资金日志完整。</w:t>
      </w:r>
    </w:p>
    <w:p>
      <w:r>
        <w:rPr>
          <w:rFonts w:ascii="Microsoft YaHei" w:hAnsi="Microsoft YaHei" w:eastAsia="Microsoft YaHei"/>
          <w:b w:val="0"/>
          <w:sz w:val="21"/>
        </w:rPr>
        <w:t>第三方：微信与支付宝至少在测试环境完成联调；正式环境以客户资质为准；IM、实名、电子签在测试环境验证通过。</w:t>
      </w:r>
    </w:p>
    <w:p>
      <w:pPr>
        <w:pStyle w:val="Heading2"/>
      </w:pPr>
      <w:r>
        <w:rPr>
          <w:rFonts w:ascii="Microsoft YaHei" w:hAnsi="Microsoft YaHei" w:eastAsia="Microsoft YaHei"/>
        </w:rPr>
        <w:t>10.2  里程碑（阶段划分摘自原文，日期待排期确认）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一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需求冻结、信息架构与关键 UI 方向/高保真评审。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二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前端框架与组件库、核心页面静态化与多端适配。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三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数据库与 API、管理后台模块、第三方集成。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四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联调测试、兼容性、性能与安全加固、试运行上线与培训移交。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11  风险与依赖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版权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游戏素材、截图、Logo 等可能涉及第三方 IP，须取得授权或使用原创/正版素材。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支付与分账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依赖所选服务商能力与资质，须在开发前锁定接口与对方合规要求。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虚拟商品纠纷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包赔、验号、举证与仲裁细则须产品化并可后台审计。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美术投入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关键视觉未达到素材标准时，前端还原存在客观上限。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可选 3D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如需原创 3D 或实时渲染，周期长、成本高，应以独立工作包评估。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12  待定问题清单</w:t>
      </w:r>
    </w:p>
    <w:p>
      <w:r>
        <w:rPr>
          <w:rFonts w:ascii="Microsoft YaHei" w:hAnsi="Microsoft YaHei" w:eastAsia="Microsoft YaHei"/>
          <w:b w:val="0"/>
          <w:sz w:val="21"/>
        </w:rPr>
        <w:t>· 「中介担保」交易类型的完整业务流程、计费与风控规则（原文：入口预留，细则未完全确定）。</w:t>
      </w:r>
    </w:p>
    <w:p>
      <w:r>
        <w:rPr>
          <w:rFonts w:ascii="Microsoft YaHei" w:hAnsi="Microsoft YaHei" w:eastAsia="Microsoft YaHei"/>
          <w:b w:val="0"/>
          <w:sz w:val="21"/>
        </w:rPr>
        <w:t>· 四方支付服务商、分账模型、提现周期与手续费规则的最终取值。</w:t>
      </w:r>
    </w:p>
    <w:p>
      <w:r>
        <w:rPr>
          <w:rFonts w:ascii="Microsoft YaHei" w:hAnsi="Microsoft YaHei" w:eastAsia="Microsoft YaHei"/>
          <w:b w:val="0"/>
          <w:sz w:val="21"/>
        </w:rPr>
        <w:t>· 砍价定金在各类拒绝/超时场景下的退还或罚没规则的书面定义。</w:t>
      </w:r>
    </w:p>
    <w:p>
      <w:r>
        <w:rPr>
          <w:rFonts w:ascii="Microsoft YaHei" w:hAnsi="Microsoft YaHei" w:eastAsia="Microsoft YaHei"/>
          <w:b w:val="0"/>
          <w:sz w:val="21"/>
        </w:rPr>
        <w:t>· 代理毁约阈值（如「超过 5 次取消代理」）及扣罚 30% 等默认值是否仍为最终策略。</w:t>
      </w:r>
    </w:p>
    <w:p>
      <w:r>
        <w:rPr>
          <w:rFonts w:ascii="Microsoft YaHei" w:hAnsi="Microsoft YaHei" w:eastAsia="Microsoft YaHei"/>
          <w:b w:val="0"/>
          <w:sz w:val="21"/>
        </w:rPr>
        <w:t>· IM 会话留存周期、审核机制与违禁内容处置流程。</w:t>
      </w:r>
    </w:p>
    <w:p>
      <w:r>
        <w:rPr>
          <w:rFonts w:ascii="Microsoft YaHei" w:hAnsi="Microsoft YaHei" w:eastAsia="Microsoft YaHei"/>
          <w:b w:val="0"/>
          <w:sz w:val="21"/>
        </w:rPr>
        <w:t>· 电子签合同模板字段、签署顺序与解约条款。</w:t>
      </w:r>
    </w:p>
    <w:p>
      <w:r>
        <w:rPr>
          <w:rFonts w:ascii="Microsoft YaHei" w:hAnsi="Microsoft YaHei" w:eastAsia="Microsoft YaHei"/>
          <w:b w:val="0"/>
          <w:sz w:val="21"/>
        </w:rPr>
        <w:t>· 「预约人数」的数据来源：真实统计或运营配置展示，及对外的合规表述。</w:t>
      </w:r>
    </w:p>
    <w:p>
      <w:r>
        <w:rPr>
          <w:rFonts w:ascii="Microsoft YaHei" w:hAnsi="Microsoft YaHei" w:eastAsia="Microsoft YaHei"/>
          <w:b w:val="0"/>
          <w:sz w:val="21"/>
        </w:rPr>
        <w:t>· 测试部署与免费维护周期的商务条款是否与本期开发合同一致（原文提及 3 个月维护，以服务合同为准）。</w:t>
      </w:r>
    </w:p>
    <w:p>
      <w:pPr>
        <w:pStyle w:val="Heading1"/>
      </w:pPr>
      <w:r>
        <w:rPr>
          <w:rFonts w:ascii="Microsoft YaHei" w:hAnsi="Microsoft YaHei" w:eastAsia="Microsoft YaHei"/>
        </w:rPr>
        <w:t>附录 A  参考技术路线（待技术评审）</w:t>
      </w:r>
    </w:p>
    <w:p>
      <w:r>
        <w:rPr>
          <w:rFonts w:ascii="Microsoft YaHei" w:hAnsi="Microsoft YaHei" w:eastAsia="Microsoft YaHei"/>
          <w:b w:val="0"/>
          <w:sz w:val="21"/>
        </w:rPr>
        <w:t>下表摘自客户文档中的供应商与栈建议，仅作立项讨论参考，不构成实施承诺；最终选型以架构评审与安全评估结论为准。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客户文档中的示例选型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PC/H5（示例）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React + Next.js + TypeScript；动效可用 GSAP / Framer Motion / Lottie 等组合。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APP（示例）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Flutter；动效可用 Flutter Animation / Rive / Lottie。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管理后台（示例）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Vue 3 + Vite；组件库选型待统一。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服务端（示例）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Java（Spring Boot 生态用语）。数据库 MySQL；缓存 Redis。</w:t>
            </w:r>
          </w:p>
        </w:tc>
      </w:tr>
      <w:tr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外围服务（示例）</w:t>
            </w:r>
          </w:p>
        </w:tc>
        <w:tc>
          <w:tcPr>
            <w:tcW w:type="dxa" w:w="4703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sz w:val="20"/>
              </w:rPr>
              <w:t>对象存储+CDN；腾讯 IM；微信/支付宝/四方支付；腾讯云或阿里云实名/人脸；电子签法等。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 B  报价与商务</w:t>
      </w:r>
    </w:p>
    <w:p>
      <w:r>
        <w:rPr>
          <w:rFonts w:ascii="Microsoft YaHei" w:hAnsi="Microsoft YaHei" w:eastAsia="Microsoft YaHei"/>
          <w:b w:val="0"/>
          <w:sz w:val="21"/>
        </w:rPr>
        <w:t>本项目详细人天拆分、单价与含税总价以双方签署的报价单或服务合同附件为准；本文档不重复罗列金额明细。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