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Enterprise Credit Risk Feature Engineering Guide</w:t>
      </w:r>
    </w:p>
    <w:p>
      <w:r>
        <w:t>This document explains the engineered credit risk features used in the banking machine learning model. Each feature includes:</w:t>
        <w:br/>
        <w:t>- Raw data field meanings</w:t>
        <w:br/>
        <w:t>- Mathematical formula</w:t>
        <w:br/>
        <w:t>- Real banking interpretation</w:t>
        <w:br/>
        <w:t>- Worked numerical example</w:t>
        <w:br/>
        <w:t>- Why the feature matters for default prediction</w:t>
        <w:br/>
        <w:br/>
        <w:t>The explanations are written from an enterprise banking and Principal Data Science perspective.</w:t>
      </w:r>
    </w:p>
    <w:p>
      <w:pPr>
        <w:pStyle w:val="Heading2"/>
      </w:pPr>
      <w:r>
        <w:t>AMT_CREDIT</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Raw Banking Variable</w:t>
            </w:r>
          </w:p>
        </w:tc>
      </w:tr>
      <w:tr>
        <w:tc>
          <w:tcPr>
            <w:tcW w:type="dxa" w:w="4320"/>
          </w:tcPr>
          <w:p>
            <w:r>
              <w:t>Business Meaning</w:t>
            </w:r>
          </w:p>
        </w:tc>
        <w:tc>
          <w:tcPr>
            <w:tcW w:type="dxa" w:w="4320"/>
          </w:tcPr>
          <w:p>
            <w:r>
              <w:t>Total loan amount requested or approved for the customer.</w:t>
            </w:r>
          </w:p>
        </w:tc>
      </w:tr>
      <w:tr>
        <w:tc>
          <w:tcPr>
            <w:tcW w:type="dxa" w:w="4320"/>
          </w:tcPr>
          <w:p>
            <w:r>
              <w:t>Detailed Explanation</w:t>
            </w:r>
          </w:p>
        </w:tc>
        <w:tc>
          <w:tcPr>
            <w:tcW w:type="dxa" w:w="4320"/>
          </w:tcPr>
          <w:p>
            <w:r>
              <w:t>Represents the size of the customer’s financing exposure.</w:t>
            </w:r>
          </w:p>
        </w:tc>
      </w:tr>
      <w:tr>
        <w:tc>
          <w:tcPr>
            <w:tcW w:type="dxa" w:w="4320"/>
          </w:tcPr>
          <w:p>
            <w:r>
              <w:t>Formula</w:t>
            </w:r>
          </w:p>
        </w:tc>
        <w:tc>
          <w:tcPr>
            <w:tcW w:type="dxa" w:w="4320"/>
          </w:tcPr>
          <w:p>
            <w:r>
              <w:t>Raw banking variable</w:t>
            </w:r>
          </w:p>
        </w:tc>
      </w:tr>
      <w:tr>
        <w:tc>
          <w:tcPr>
            <w:tcW w:type="dxa" w:w="4320"/>
          </w:tcPr>
          <w:p>
            <w:r>
              <w:t>Worked Example</w:t>
            </w:r>
          </w:p>
        </w:tc>
        <w:tc>
          <w:tcPr>
            <w:tcW w:type="dxa" w:w="4320"/>
          </w:tcPr>
          <w:p>
            <w:r>
              <w:t>If a customer applies for a car loan of 120,000 AED, then AMT_CREDIT = 120,000.</w:t>
            </w:r>
          </w:p>
        </w:tc>
      </w:tr>
    </w:tbl>
    <w:p/>
    <w:p>
      <w:pPr>
        <w:pStyle w:val="Heading2"/>
      </w:pPr>
      <w:r>
        <w:t>AMT_ANNUITY</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Raw Banking Variable</w:t>
            </w:r>
          </w:p>
        </w:tc>
      </w:tr>
      <w:tr>
        <w:tc>
          <w:tcPr>
            <w:tcW w:type="dxa" w:w="4320"/>
          </w:tcPr>
          <w:p>
            <w:r>
              <w:t>Business Meaning</w:t>
            </w:r>
          </w:p>
        </w:tc>
        <w:tc>
          <w:tcPr>
            <w:tcW w:type="dxa" w:w="4320"/>
          </w:tcPr>
          <w:p>
            <w:r>
              <w:t>The customer’s regular repayment obligation.</w:t>
            </w:r>
          </w:p>
        </w:tc>
      </w:tr>
      <w:tr>
        <w:tc>
          <w:tcPr>
            <w:tcW w:type="dxa" w:w="4320"/>
          </w:tcPr>
          <w:p>
            <w:r>
              <w:t>Detailed Explanation</w:t>
            </w:r>
          </w:p>
        </w:tc>
        <w:tc>
          <w:tcPr>
            <w:tcW w:type="dxa" w:w="4320"/>
          </w:tcPr>
          <w:p>
            <w:r>
              <w:t>Usually monthly installment payments.</w:t>
            </w:r>
          </w:p>
        </w:tc>
      </w:tr>
      <w:tr>
        <w:tc>
          <w:tcPr>
            <w:tcW w:type="dxa" w:w="4320"/>
          </w:tcPr>
          <w:p>
            <w:r>
              <w:t>Formula</w:t>
            </w:r>
          </w:p>
        </w:tc>
        <w:tc>
          <w:tcPr>
            <w:tcW w:type="dxa" w:w="4320"/>
          </w:tcPr>
          <w:p>
            <w:r>
              <w:t>Raw banking variable</w:t>
            </w:r>
          </w:p>
        </w:tc>
      </w:tr>
      <w:tr>
        <w:tc>
          <w:tcPr>
            <w:tcW w:type="dxa" w:w="4320"/>
          </w:tcPr>
          <w:p>
            <w:r>
              <w:t>Worked Example</w:t>
            </w:r>
          </w:p>
        </w:tc>
        <w:tc>
          <w:tcPr>
            <w:tcW w:type="dxa" w:w="4320"/>
          </w:tcPr>
          <w:p>
            <w:r>
              <w:t>If customer pays 2,500 AED monthly, then AMT_ANNUITY = 2,500.</w:t>
            </w:r>
          </w:p>
        </w:tc>
      </w:tr>
    </w:tbl>
    <w:p/>
    <w:p>
      <w:pPr>
        <w:pStyle w:val="Heading2"/>
      </w:pPr>
      <w:r>
        <w:t>AMT_INCOME_TOTAL</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Raw Banking Variable</w:t>
            </w:r>
          </w:p>
        </w:tc>
      </w:tr>
      <w:tr>
        <w:tc>
          <w:tcPr>
            <w:tcW w:type="dxa" w:w="4320"/>
          </w:tcPr>
          <w:p>
            <w:r>
              <w:t>Business Meaning</w:t>
            </w:r>
          </w:p>
        </w:tc>
        <w:tc>
          <w:tcPr>
            <w:tcW w:type="dxa" w:w="4320"/>
          </w:tcPr>
          <w:p>
            <w:r>
              <w:t>Customer total reported income.</w:t>
            </w:r>
          </w:p>
        </w:tc>
      </w:tr>
      <w:tr>
        <w:tc>
          <w:tcPr>
            <w:tcW w:type="dxa" w:w="4320"/>
          </w:tcPr>
          <w:p>
            <w:r>
              <w:t>Detailed Explanation</w:t>
            </w:r>
          </w:p>
        </w:tc>
        <w:tc>
          <w:tcPr>
            <w:tcW w:type="dxa" w:w="4320"/>
          </w:tcPr>
          <w:p>
            <w:r>
              <w:t>Used to estimate affordability and repayment capability.</w:t>
            </w:r>
          </w:p>
        </w:tc>
      </w:tr>
      <w:tr>
        <w:tc>
          <w:tcPr>
            <w:tcW w:type="dxa" w:w="4320"/>
          </w:tcPr>
          <w:p>
            <w:r>
              <w:t>Formula</w:t>
            </w:r>
          </w:p>
        </w:tc>
        <w:tc>
          <w:tcPr>
            <w:tcW w:type="dxa" w:w="4320"/>
          </w:tcPr>
          <w:p>
            <w:r>
              <w:t>Raw banking variable</w:t>
            </w:r>
          </w:p>
        </w:tc>
      </w:tr>
      <w:tr>
        <w:tc>
          <w:tcPr>
            <w:tcW w:type="dxa" w:w="4320"/>
          </w:tcPr>
          <w:p>
            <w:r>
              <w:t>Worked Example</w:t>
            </w:r>
          </w:p>
        </w:tc>
        <w:tc>
          <w:tcPr>
            <w:tcW w:type="dxa" w:w="4320"/>
          </w:tcPr>
          <w:p>
            <w:r>
              <w:t>If customer salary is 15,000 AED monthly, then AMT_INCOME_TOTAL = 15,000.</w:t>
            </w:r>
          </w:p>
        </w:tc>
      </w:tr>
    </w:tbl>
    <w:p/>
    <w:p>
      <w:pPr>
        <w:pStyle w:val="Heading2"/>
      </w:pPr>
      <w:r>
        <w:t>DEBT_TO_INCOME</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Affordability Feature</w:t>
            </w:r>
          </w:p>
        </w:tc>
      </w:tr>
      <w:tr>
        <w:tc>
          <w:tcPr>
            <w:tcW w:type="dxa" w:w="4320"/>
          </w:tcPr>
          <w:p>
            <w:r>
              <w:t>Business Meaning</w:t>
            </w:r>
          </w:p>
        </w:tc>
        <w:tc>
          <w:tcPr>
            <w:tcW w:type="dxa" w:w="4320"/>
          </w:tcPr>
          <w:p>
            <w:r>
              <w:t>Measures how financially constrained the customer is.</w:t>
            </w:r>
          </w:p>
        </w:tc>
      </w:tr>
      <w:tr>
        <w:tc>
          <w:tcPr>
            <w:tcW w:type="dxa" w:w="4320"/>
          </w:tcPr>
          <w:p>
            <w:r>
              <w:t>Detailed Explanation</w:t>
            </w:r>
          </w:p>
        </w:tc>
        <w:tc>
          <w:tcPr>
            <w:tcW w:type="dxa" w:w="4320"/>
          </w:tcPr>
          <w:p>
            <w:r>
              <w:t>Higher values indicate the customer already carries heavy debt obligations relative to income.</w:t>
            </w:r>
          </w:p>
        </w:tc>
      </w:tr>
      <w:tr>
        <w:tc>
          <w:tcPr>
            <w:tcW w:type="dxa" w:w="4320"/>
          </w:tcPr>
          <w:p>
            <w:r>
              <w:t>Formula</w:t>
            </w:r>
          </w:p>
        </w:tc>
        <w:tc>
          <w:tcPr>
            <w:tcW w:type="dxa" w:w="4320"/>
          </w:tcPr>
          <w:p>
            <w:r>
              <w:t>TOTAL_EXTERNAL_DEBT / AMT_INCOME_TOTAL</w:t>
            </w:r>
          </w:p>
        </w:tc>
      </w:tr>
      <w:tr>
        <w:tc>
          <w:tcPr>
            <w:tcW w:type="dxa" w:w="4320"/>
          </w:tcPr>
          <w:p>
            <w:r>
              <w:t>Worked Example</w:t>
            </w:r>
          </w:p>
        </w:tc>
        <w:tc>
          <w:tcPr>
            <w:tcW w:type="dxa" w:w="4320"/>
          </w:tcPr>
          <w:p>
            <w:r>
              <w:t>Debt = 90,000 AED and income = 15,000 AED. DTI = 90,000 / 15,000 = 6.0</w:t>
            </w:r>
          </w:p>
        </w:tc>
      </w:tr>
    </w:tbl>
    <w:p/>
    <w:p>
      <w:pPr>
        <w:pStyle w:val="Heading2"/>
      </w:pPr>
      <w:r>
        <w:t>FREE_CASH_FLOW</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Affordability Feature</w:t>
            </w:r>
          </w:p>
        </w:tc>
      </w:tr>
      <w:tr>
        <w:tc>
          <w:tcPr>
            <w:tcW w:type="dxa" w:w="4320"/>
          </w:tcPr>
          <w:p>
            <w:r>
              <w:t>Business Meaning</w:t>
            </w:r>
          </w:p>
        </w:tc>
        <w:tc>
          <w:tcPr>
            <w:tcW w:type="dxa" w:w="4320"/>
          </w:tcPr>
          <w:p>
            <w:r>
              <w:t>Estimates remaining money after loan obligations.</w:t>
            </w:r>
          </w:p>
        </w:tc>
      </w:tr>
      <w:tr>
        <w:tc>
          <w:tcPr>
            <w:tcW w:type="dxa" w:w="4320"/>
          </w:tcPr>
          <w:p>
            <w:r>
              <w:t>Detailed Explanation</w:t>
            </w:r>
          </w:p>
        </w:tc>
        <w:tc>
          <w:tcPr>
            <w:tcW w:type="dxa" w:w="4320"/>
          </w:tcPr>
          <w:p>
            <w:r>
              <w:t>Customers with very low free cash flow are more vulnerable to financial shocks.</w:t>
            </w:r>
          </w:p>
        </w:tc>
      </w:tr>
      <w:tr>
        <w:tc>
          <w:tcPr>
            <w:tcW w:type="dxa" w:w="4320"/>
          </w:tcPr>
          <w:p>
            <w:r>
              <w:t>Formula</w:t>
            </w:r>
          </w:p>
        </w:tc>
        <w:tc>
          <w:tcPr>
            <w:tcW w:type="dxa" w:w="4320"/>
          </w:tcPr>
          <w:p>
            <w:r>
              <w:t>AMT_INCOME_TOTAL - AMT_ANNUITY</w:t>
            </w:r>
          </w:p>
        </w:tc>
      </w:tr>
      <w:tr>
        <w:tc>
          <w:tcPr>
            <w:tcW w:type="dxa" w:w="4320"/>
          </w:tcPr>
          <w:p>
            <w:r>
              <w:t>Worked Example</w:t>
            </w:r>
          </w:p>
        </w:tc>
        <w:tc>
          <w:tcPr>
            <w:tcW w:type="dxa" w:w="4320"/>
          </w:tcPr>
          <w:p>
            <w:r>
              <w:t>Income = 15,000 AED and annuity = 12,000 AED. Free cash flow = 3,000 AED.</w:t>
            </w:r>
          </w:p>
        </w:tc>
      </w:tr>
    </w:tbl>
    <w:p/>
    <w:p>
      <w:pPr>
        <w:pStyle w:val="Heading2"/>
      </w:pPr>
      <w:r>
        <w:t>CREDIT_TO_ANNUITY_RATIO</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Affordability Feature</w:t>
            </w:r>
          </w:p>
        </w:tc>
      </w:tr>
      <w:tr>
        <w:tc>
          <w:tcPr>
            <w:tcW w:type="dxa" w:w="4320"/>
          </w:tcPr>
          <w:p>
            <w:r>
              <w:t>Business Meaning</w:t>
            </w:r>
          </w:p>
        </w:tc>
        <w:tc>
          <w:tcPr>
            <w:tcW w:type="dxa" w:w="4320"/>
          </w:tcPr>
          <w:p>
            <w:r>
              <w:t>Measures loan size relative to repayment burden.</w:t>
            </w:r>
          </w:p>
        </w:tc>
      </w:tr>
      <w:tr>
        <w:tc>
          <w:tcPr>
            <w:tcW w:type="dxa" w:w="4320"/>
          </w:tcPr>
          <w:p>
            <w:r>
              <w:t>Detailed Explanation</w:t>
            </w:r>
          </w:p>
        </w:tc>
        <w:tc>
          <w:tcPr>
            <w:tcW w:type="dxa" w:w="4320"/>
          </w:tcPr>
          <w:p>
            <w:r>
              <w:t>Higher values may indicate longer or heavier repayment obligations.</w:t>
            </w:r>
          </w:p>
        </w:tc>
      </w:tr>
      <w:tr>
        <w:tc>
          <w:tcPr>
            <w:tcW w:type="dxa" w:w="4320"/>
          </w:tcPr>
          <w:p>
            <w:r>
              <w:t>Formula</w:t>
            </w:r>
          </w:p>
        </w:tc>
        <w:tc>
          <w:tcPr>
            <w:tcW w:type="dxa" w:w="4320"/>
          </w:tcPr>
          <w:p>
            <w:r>
              <w:t>AMT_CREDIT / AMT_ANNUITY</w:t>
            </w:r>
          </w:p>
        </w:tc>
      </w:tr>
      <w:tr>
        <w:tc>
          <w:tcPr>
            <w:tcW w:type="dxa" w:w="4320"/>
          </w:tcPr>
          <w:p>
            <w:r>
              <w:t>Worked Example</w:t>
            </w:r>
          </w:p>
        </w:tc>
        <w:tc>
          <w:tcPr>
            <w:tcW w:type="dxa" w:w="4320"/>
          </w:tcPr>
          <w:p>
            <w:r>
              <w:t>Credit = 120,000 AED and annuity = 2,000 AED. Ratio = 60.</w:t>
            </w:r>
          </w:p>
        </w:tc>
      </w:tr>
    </w:tbl>
    <w:p/>
    <w:p>
      <w:pPr>
        <w:pStyle w:val="Heading2"/>
      </w:pPr>
      <w:r>
        <w:t>BORROWING_ACCELERATION_RATIO</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Behavioral Feature</w:t>
            </w:r>
          </w:p>
        </w:tc>
      </w:tr>
      <w:tr>
        <w:tc>
          <w:tcPr>
            <w:tcW w:type="dxa" w:w="4320"/>
          </w:tcPr>
          <w:p>
            <w:r>
              <w:t>Business Meaning</w:t>
            </w:r>
          </w:p>
        </w:tc>
        <w:tc>
          <w:tcPr>
            <w:tcW w:type="dxa" w:w="4320"/>
          </w:tcPr>
          <w:p>
            <w:r>
              <w:t>Measures whether customer borrowing activity is accelerating.</w:t>
            </w:r>
          </w:p>
        </w:tc>
      </w:tr>
      <w:tr>
        <w:tc>
          <w:tcPr>
            <w:tcW w:type="dxa" w:w="4320"/>
          </w:tcPr>
          <w:p>
            <w:r>
              <w:t>Detailed Explanation</w:t>
            </w:r>
          </w:p>
        </w:tc>
        <w:tc>
          <w:tcPr>
            <w:tcW w:type="dxa" w:w="4320"/>
          </w:tcPr>
          <w:p>
            <w:r>
              <w:t>Sudden increases in borrowing activity may indicate liquidity stress or dependency on financing.</w:t>
            </w:r>
          </w:p>
        </w:tc>
      </w:tr>
      <w:tr>
        <w:tc>
          <w:tcPr>
            <w:tcW w:type="dxa" w:w="4320"/>
          </w:tcPr>
          <w:p>
            <w:r>
              <w:t>Formula</w:t>
            </w:r>
          </w:p>
        </w:tc>
        <w:tc>
          <w:tcPr>
            <w:tcW w:type="dxa" w:w="4320"/>
          </w:tcPr>
          <w:p>
            <w:r>
              <w:t>RECENT_APPLICATION_COUNT / PREVIOUS_APPLICATION_COUNT</w:t>
            </w:r>
          </w:p>
        </w:tc>
      </w:tr>
      <w:tr>
        <w:tc>
          <w:tcPr>
            <w:tcW w:type="dxa" w:w="4320"/>
          </w:tcPr>
          <w:p>
            <w:r>
              <w:t>Worked Example</w:t>
            </w:r>
          </w:p>
        </w:tc>
        <w:tc>
          <w:tcPr>
            <w:tcW w:type="dxa" w:w="4320"/>
          </w:tcPr>
          <w:p>
            <w:r>
              <w:t>Recent applications = 4 and historical applications = 5. Ratio = 0.8</w:t>
            </w:r>
          </w:p>
        </w:tc>
      </w:tr>
    </w:tbl>
    <w:p/>
    <w:p>
      <w:pPr>
        <w:pStyle w:val="Heading2"/>
      </w:pPr>
      <w:r>
        <w:t>AVG_PAYMENT_DELAY</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Behavioral Feature</w:t>
            </w:r>
          </w:p>
        </w:tc>
      </w:tr>
      <w:tr>
        <w:tc>
          <w:tcPr>
            <w:tcW w:type="dxa" w:w="4320"/>
          </w:tcPr>
          <w:p>
            <w:r>
              <w:t>Business Meaning</w:t>
            </w:r>
          </w:p>
        </w:tc>
        <w:tc>
          <w:tcPr>
            <w:tcW w:type="dxa" w:w="4320"/>
          </w:tcPr>
          <w:p>
            <w:r>
              <w:t>Measures average repayment lateness.</w:t>
            </w:r>
          </w:p>
        </w:tc>
      </w:tr>
      <w:tr>
        <w:tc>
          <w:tcPr>
            <w:tcW w:type="dxa" w:w="4320"/>
          </w:tcPr>
          <w:p>
            <w:r>
              <w:t>Detailed Explanation</w:t>
            </w:r>
          </w:p>
        </w:tc>
        <w:tc>
          <w:tcPr>
            <w:tcW w:type="dxa" w:w="4320"/>
          </w:tcPr>
          <w:p>
            <w:r>
              <w:t>Captures delinquency severity rather than simple late payment counts.</w:t>
            </w:r>
          </w:p>
        </w:tc>
      </w:tr>
      <w:tr>
        <w:tc>
          <w:tcPr>
            <w:tcW w:type="dxa" w:w="4320"/>
          </w:tcPr>
          <w:p>
            <w:r>
              <w:t>Formula</w:t>
            </w:r>
          </w:p>
        </w:tc>
        <w:tc>
          <w:tcPr>
            <w:tcW w:type="dxa" w:w="4320"/>
          </w:tcPr>
          <w:p>
            <w:r>
              <w:t>Mean(DAYS_ENTRY_PAYMENT - DAYS_INSTALMENT)</w:t>
            </w:r>
          </w:p>
        </w:tc>
      </w:tr>
      <w:tr>
        <w:tc>
          <w:tcPr>
            <w:tcW w:type="dxa" w:w="4320"/>
          </w:tcPr>
          <w:p>
            <w:r>
              <w:t>Worked Example</w:t>
            </w:r>
          </w:p>
        </w:tc>
        <w:tc>
          <w:tcPr>
            <w:tcW w:type="dxa" w:w="4320"/>
          </w:tcPr>
          <w:p>
            <w:r>
              <w:t>Payment delays: 2, 5, 8 days. Average delay = 5 days.</w:t>
            </w:r>
          </w:p>
        </w:tc>
      </w:tr>
    </w:tbl>
    <w:p/>
    <w:p>
      <w:pPr>
        <w:pStyle w:val="Heading2"/>
      </w:pPr>
      <w:r>
        <w:t>PAYMENT_DEFICIT</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Repayment Sufficiency Feature</w:t>
            </w:r>
          </w:p>
        </w:tc>
      </w:tr>
      <w:tr>
        <w:tc>
          <w:tcPr>
            <w:tcW w:type="dxa" w:w="4320"/>
          </w:tcPr>
          <w:p>
            <w:r>
              <w:t>Business Meaning</w:t>
            </w:r>
          </w:p>
        </w:tc>
        <w:tc>
          <w:tcPr>
            <w:tcW w:type="dxa" w:w="4320"/>
          </w:tcPr>
          <w:p>
            <w:r>
              <w:t>Measures whether customer fully paid the required installment.</w:t>
            </w:r>
          </w:p>
        </w:tc>
      </w:tr>
      <w:tr>
        <w:tc>
          <w:tcPr>
            <w:tcW w:type="dxa" w:w="4320"/>
          </w:tcPr>
          <w:p>
            <w:r>
              <w:t>Detailed Explanation</w:t>
            </w:r>
          </w:p>
        </w:tc>
        <w:tc>
          <w:tcPr>
            <w:tcW w:type="dxa" w:w="4320"/>
          </w:tcPr>
          <w:p>
            <w:r>
              <w:t>Negative values indicate underpayment behavior.</w:t>
            </w:r>
          </w:p>
        </w:tc>
      </w:tr>
      <w:tr>
        <w:tc>
          <w:tcPr>
            <w:tcW w:type="dxa" w:w="4320"/>
          </w:tcPr>
          <w:p>
            <w:r>
              <w:t>Formula</w:t>
            </w:r>
          </w:p>
        </w:tc>
        <w:tc>
          <w:tcPr>
            <w:tcW w:type="dxa" w:w="4320"/>
          </w:tcPr>
          <w:p>
            <w:r>
              <w:t>AMT_PAYMENT - AMT_INSTALMENT</w:t>
            </w:r>
          </w:p>
        </w:tc>
      </w:tr>
      <w:tr>
        <w:tc>
          <w:tcPr>
            <w:tcW w:type="dxa" w:w="4320"/>
          </w:tcPr>
          <w:p>
            <w:r>
              <w:t>Worked Example</w:t>
            </w:r>
          </w:p>
        </w:tc>
        <w:tc>
          <w:tcPr>
            <w:tcW w:type="dxa" w:w="4320"/>
          </w:tcPr>
          <w:p>
            <w:r>
              <w:t>Required installment = 2,000 AED and actual payment = 1,500 AED. Deficit = -500 AED.</w:t>
            </w:r>
          </w:p>
        </w:tc>
      </w:tr>
    </w:tbl>
    <w:p/>
    <w:p>
      <w:pPr>
        <w:pStyle w:val="Heading2"/>
      </w:pPr>
      <w:r>
        <w:t>RECENT_DELAY_TREND</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Temporal Behavioral Feature</w:t>
            </w:r>
          </w:p>
        </w:tc>
      </w:tr>
      <w:tr>
        <w:tc>
          <w:tcPr>
            <w:tcW w:type="dxa" w:w="4320"/>
          </w:tcPr>
          <w:p>
            <w:r>
              <w:t>Business Meaning</w:t>
            </w:r>
          </w:p>
        </w:tc>
        <w:tc>
          <w:tcPr>
            <w:tcW w:type="dxa" w:w="4320"/>
          </w:tcPr>
          <w:p>
            <w:r>
              <w:t>Measures whether repayment behavior is deteriorating recently.</w:t>
            </w:r>
          </w:p>
        </w:tc>
      </w:tr>
      <w:tr>
        <w:tc>
          <w:tcPr>
            <w:tcW w:type="dxa" w:w="4320"/>
          </w:tcPr>
          <w:p>
            <w:r>
              <w:t>Detailed Explanation</w:t>
            </w:r>
          </w:p>
        </w:tc>
        <w:tc>
          <w:tcPr>
            <w:tcW w:type="dxa" w:w="4320"/>
          </w:tcPr>
          <w:p>
            <w:r>
              <w:t>Banks care more about worsening recent behavior than old historical issues.</w:t>
            </w:r>
          </w:p>
        </w:tc>
      </w:tr>
      <w:tr>
        <w:tc>
          <w:tcPr>
            <w:tcW w:type="dxa" w:w="4320"/>
          </w:tcPr>
          <w:p>
            <w:r>
              <w:t>Formula</w:t>
            </w:r>
          </w:p>
        </w:tc>
        <w:tc>
          <w:tcPr>
            <w:tcW w:type="dxa" w:w="4320"/>
          </w:tcPr>
          <w:p>
            <w:r>
              <w:t>AVG_PAYMENT_DELAY_LAST_90D - AVG_PAYMENT_DELAY</w:t>
            </w:r>
          </w:p>
        </w:tc>
      </w:tr>
      <w:tr>
        <w:tc>
          <w:tcPr>
            <w:tcW w:type="dxa" w:w="4320"/>
          </w:tcPr>
          <w:p>
            <w:r>
              <w:t>Worked Example</w:t>
            </w:r>
          </w:p>
        </w:tc>
        <w:tc>
          <w:tcPr>
            <w:tcW w:type="dxa" w:w="4320"/>
          </w:tcPr>
          <w:p>
            <w:r>
              <w:t>Historical delay = 4 days and recent delay = 12 days. Trend = +8 days deterioration.</w:t>
            </w:r>
          </w:p>
        </w:tc>
      </w:tr>
    </w:tbl>
    <w:p/>
    <w:p>
      <w:pPr>
        <w:pStyle w:val="Heading2"/>
      </w:pPr>
      <w:r>
        <w:t>ACTIVE_DEBT_RATIO</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Exposure Feature</w:t>
            </w:r>
          </w:p>
        </w:tc>
      </w:tr>
      <w:tr>
        <w:tc>
          <w:tcPr>
            <w:tcW w:type="dxa" w:w="4320"/>
          </w:tcPr>
          <w:p>
            <w:r>
              <w:t>Business Meaning</w:t>
            </w:r>
          </w:p>
        </w:tc>
        <w:tc>
          <w:tcPr>
            <w:tcW w:type="dxa" w:w="4320"/>
          </w:tcPr>
          <w:p>
            <w:r>
              <w:t>Measures how much debt is still actively outstanding.</w:t>
            </w:r>
          </w:p>
        </w:tc>
      </w:tr>
      <w:tr>
        <w:tc>
          <w:tcPr>
            <w:tcW w:type="dxa" w:w="4320"/>
          </w:tcPr>
          <w:p>
            <w:r>
              <w:t>Detailed Explanation</w:t>
            </w:r>
          </w:p>
        </w:tc>
        <w:tc>
          <w:tcPr>
            <w:tcW w:type="dxa" w:w="4320"/>
          </w:tcPr>
          <w:p>
            <w:r>
              <w:t>Higher values indicate the customer still carries significant active obligations.</w:t>
            </w:r>
          </w:p>
        </w:tc>
      </w:tr>
      <w:tr>
        <w:tc>
          <w:tcPr>
            <w:tcW w:type="dxa" w:w="4320"/>
          </w:tcPr>
          <w:p>
            <w:r>
              <w:t>Formula</w:t>
            </w:r>
          </w:p>
        </w:tc>
        <w:tc>
          <w:tcPr>
            <w:tcW w:type="dxa" w:w="4320"/>
          </w:tcPr>
          <w:p>
            <w:r>
              <w:t>ACTIVE_EXTERNAL_DEBT / TOTAL_EXTERNAL_DEBT</w:t>
            </w:r>
          </w:p>
        </w:tc>
      </w:tr>
      <w:tr>
        <w:tc>
          <w:tcPr>
            <w:tcW w:type="dxa" w:w="4320"/>
          </w:tcPr>
          <w:p>
            <w:r>
              <w:t>Worked Example</w:t>
            </w:r>
          </w:p>
        </w:tc>
        <w:tc>
          <w:tcPr>
            <w:tcW w:type="dxa" w:w="4320"/>
          </w:tcPr>
          <w:p>
            <w:r>
              <w:t>Active debt = 70,000 AED and total debt history = 100,000 AED. Ratio = 0.70</w:t>
            </w:r>
          </w:p>
        </w:tc>
      </w:tr>
    </w:tbl>
    <w:p/>
    <w:p>
      <w:pPr>
        <w:pStyle w:val="Heading2"/>
      </w:pPr>
      <w:r>
        <w:t>ANNUITY_TO_MAX_INSTALLMENT_RATIO</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Capacity Feature</w:t>
            </w:r>
          </w:p>
        </w:tc>
      </w:tr>
      <w:tr>
        <w:tc>
          <w:tcPr>
            <w:tcW w:type="dxa" w:w="4320"/>
          </w:tcPr>
          <w:p>
            <w:r>
              <w:t>Business Meaning</w:t>
            </w:r>
          </w:p>
        </w:tc>
        <w:tc>
          <w:tcPr>
            <w:tcW w:type="dxa" w:w="4320"/>
          </w:tcPr>
          <w:p>
            <w:r>
              <w:t>Compares current repayment burden versus historical repayment capacity.</w:t>
            </w:r>
          </w:p>
        </w:tc>
      </w:tr>
      <w:tr>
        <w:tc>
          <w:tcPr>
            <w:tcW w:type="dxa" w:w="4320"/>
          </w:tcPr>
          <w:p>
            <w:r>
              <w:t>Detailed Explanation</w:t>
            </w:r>
          </w:p>
        </w:tc>
        <w:tc>
          <w:tcPr>
            <w:tcW w:type="dxa" w:w="4320"/>
          </w:tcPr>
          <w:p>
            <w:r>
              <w:t>Measures how close customer is operating to historical repayment limits.</w:t>
            </w:r>
          </w:p>
        </w:tc>
      </w:tr>
      <w:tr>
        <w:tc>
          <w:tcPr>
            <w:tcW w:type="dxa" w:w="4320"/>
          </w:tcPr>
          <w:p>
            <w:r>
              <w:t>Formula</w:t>
            </w:r>
          </w:p>
        </w:tc>
        <w:tc>
          <w:tcPr>
            <w:tcW w:type="dxa" w:w="4320"/>
          </w:tcPr>
          <w:p>
            <w:r>
              <w:t>AMT_ANNUITY / MAX_INSTALLMENT</w:t>
            </w:r>
          </w:p>
        </w:tc>
      </w:tr>
      <w:tr>
        <w:tc>
          <w:tcPr>
            <w:tcW w:type="dxa" w:w="4320"/>
          </w:tcPr>
          <w:p>
            <w:r>
              <w:t>Worked Example</w:t>
            </w:r>
          </w:p>
        </w:tc>
        <w:tc>
          <w:tcPr>
            <w:tcW w:type="dxa" w:w="4320"/>
          </w:tcPr>
          <w:p>
            <w:r>
              <w:t>Current annuity = 4,000 AED and historical max installment = 5,000 AED. Ratio = 0.80</w:t>
            </w:r>
          </w:p>
        </w:tc>
      </w:tr>
    </w:tbl>
    <w:p/>
    <w:p>
      <w:pPr>
        <w:pStyle w:val="Heading2"/>
      </w:pPr>
      <w:r>
        <w:t>EXT_SOURCE_MEAN</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External Risk Intelligence</w:t>
            </w:r>
          </w:p>
        </w:tc>
      </w:tr>
      <w:tr>
        <w:tc>
          <w:tcPr>
            <w:tcW w:type="dxa" w:w="4320"/>
          </w:tcPr>
          <w:p>
            <w:r>
              <w:t>Business Meaning</w:t>
            </w:r>
          </w:p>
        </w:tc>
        <w:tc>
          <w:tcPr>
            <w:tcW w:type="dxa" w:w="4320"/>
          </w:tcPr>
          <w:p>
            <w:r>
              <w:t>Average of external bureau or behavioral risk scores.</w:t>
            </w:r>
          </w:p>
        </w:tc>
      </w:tr>
      <w:tr>
        <w:tc>
          <w:tcPr>
            <w:tcW w:type="dxa" w:w="4320"/>
          </w:tcPr>
          <w:p>
            <w:r>
              <w:t>Detailed Explanation</w:t>
            </w:r>
          </w:p>
        </w:tc>
        <w:tc>
          <w:tcPr>
            <w:tcW w:type="dxa" w:w="4320"/>
          </w:tcPr>
          <w:p>
            <w:r>
              <w:t>Represents aggregated external trustworthiness and behavioral quality.</w:t>
            </w:r>
          </w:p>
        </w:tc>
      </w:tr>
      <w:tr>
        <w:tc>
          <w:tcPr>
            <w:tcW w:type="dxa" w:w="4320"/>
          </w:tcPr>
          <w:p>
            <w:r>
              <w:t>Formula</w:t>
            </w:r>
          </w:p>
        </w:tc>
        <w:tc>
          <w:tcPr>
            <w:tcW w:type="dxa" w:w="4320"/>
          </w:tcPr>
          <w:p>
            <w:r>
              <w:t>Mean(EXT_SOURCE_1, EXT_SOURCE_2, EXT_SOURCE_3)</w:t>
            </w:r>
          </w:p>
        </w:tc>
      </w:tr>
      <w:tr>
        <w:tc>
          <w:tcPr>
            <w:tcW w:type="dxa" w:w="4320"/>
          </w:tcPr>
          <w:p>
            <w:r>
              <w:t>Worked Example</w:t>
            </w:r>
          </w:p>
        </w:tc>
        <w:tc>
          <w:tcPr>
            <w:tcW w:type="dxa" w:w="4320"/>
          </w:tcPr>
          <w:p>
            <w:r>
              <w:t>External scores: 0.8, 0.7, 0.9. Mean = 0.80</w:t>
            </w:r>
          </w:p>
        </w:tc>
      </w:tr>
    </w:tbl>
    <w:p/>
    <w:p>
      <w:pPr>
        <w:pStyle w:val="Heading2"/>
      </w:pPr>
      <w:r>
        <w:t>EXT_SOURCE_STD</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External Risk Intelligence</w:t>
            </w:r>
          </w:p>
        </w:tc>
      </w:tr>
      <w:tr>
        <w:tc>
          <w:tcPr>
            <w:tcW w:type="dxa" w:w="4320"/>
          </w:tcPr>
          <w:p>
            <w:r>
              <w:t>Business Meaning</w:t>
            </w:r>
          </w:p>
        </w:tc>
        <w:tc>
          <w:tcPr>
            <w:tcW w:type="dxa" w:w="4320"/>
          </w:tcPr>
          <w:p>
            <w:r>
              <w:t>Measures disagreement between external scoring systems.</w:t>
            </w:r>
          </w:p>
        </w:tc>
      </w:tr>
      <w:tr>
        <w:tc>
          <w:tcPr>
            <w:tcW w:type="dxa" w:w="4320"/>
          </w:tcPr>
          <w:p>
            <w:r>
              <w:t>Detailed Explanation</w:t>
            </w:r>
          </w:p>
        </w:tc>
        <w:tc>
          <w:tcPr>
            <w:tcW w:type="dxa" w:w="4320"/>
          </w:tcPr>
          <w:p>
            <w:r>
              <w:t>High variability may indicate inconsistent or unstable customer risk signals.</w:t>
            </w:r>
          </w:p>
        </w:tc>
      </w:tr>
      <w:tr>
        <w:tc>
          <w:tcPr>
            <w:tcW w:type="dxa" w:w="4320"/>
          </w:tcPr>
          <w:p>
            <w:r>
              <w:t>Formula</w:t>
            </w:r>
          </w:p>
        </w:tc>
        <w:tc>
          <w:tcPr>
            <w:tcW w:type="dxa" w:w="4320"/>
          </w:tcPr>
          <w:p>
            <w:r>
              <w:t>Std(EXT_SOURCE_1, EXT_SOURCE_2, EXT_SOURCE_3)</w:t>
            </w:r>
          </w:p>
        </w:tc>
      </w:tr>
      <w:tr>
        <w:tc>
          <w:tcPr>
            <w:tcW w:type="dxa" w:w="4320"/>
          </w:tcPr>
          <w:p>
            <w:r>
              <w:t>Worked Example</w:t>
            </w:r>
          </w:p>
        </w:tc>
        <w:tc>
          <w:tcPr>
            <w:tcW w:type="dxa" w:w="4320"/>
          </w:tcPr>
          <w:p>
            <w:r>
              <w:t>Scores: 0.1, 0.9, 0.8. Very high variability.</w:t>
            </w:r>
          </w:p>
        </w:tc>
      </w:tr>
    </w:tbl>
    <w:p/>
    <w:p>
      <w:pPr>
        <w:pStyle w:val="Heading2"/>
      </w:pPr>
      <w:r>
        <w:t>BEHAVIORAL_RISK_SCORE</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Composite Risk Feature</w:t>
            </w:r>
          </w:p>
        </w:tc>
      </w:tr>
      <w:tr>
        <w:tc>
          <w:tcPr>
            <w:tcW w:type="dxa" w:w="4320"/>
          </w:tcPr>
          <w:p>
            <w:r>
              <w:t>Business Meaning</w:t>
            </w:r>
          </w:p>
        </w:tc>
        <w:tc>
          <w:tcPr>
            <w:tcW w:type="dxa" w:w="4320"/>
          </w:tcPr>
          <w:p>
            <w:r>
              <w:t>Aggregated customer behavioral stress score.</w:t>
            </w:r>
          </w:p>
        </w:tc>
      </w:tr>
      <w:tr>
        <w:tc>
          <w:tcPr>
            <w:tcW w:type="dxa" w:w="4320"/>
          </w:tcPr>
          <w:p>
            <w:r>
              <w:t>Detailed Explanation</w:t>
            </w:r>
          </w:p>
        </w:tc>
        <w:tc>
          <w:tcPr>
            <w:tcW w:type="dxa" w:w="4320"/>
          </w:tcPr>
          <w:p>
            <w:r>
              <w:t>Combines multiple high-risk behaviors into a single operational signal.</w:t>
            </w:r>
          </w:p>
        </w:tc>
      </w:tr>
      <w:tr>
        <w:tc>
          <w:tcPr>
            <w:tcW w:type="dxa" w:w="4320"/>
          </w:tcPr>
          <w:p>
            <w:r>
              <w:t>Formula</w:t>
            </w:r>
          </w:p>
        </w:tc>
        <w:tc>
          <w:tcPr>
            <w:tcW w:type="dxa" w:w="4320"/>
          </w:tcPr>
          <w:p>
            <w:r>
              <w:t>HIGH_DTI_FLAG + HIGH_LATE_PAYMENT_FLAG + HIGH_BORROWING_FLAG</w:t>
            </w:r>
          </w:p>
        </w:tc>
      </w:tr>
      <w:tr>
        <w:tc>
          <w:tcPr>
            <w:tcW w:type="dxa" w:w="4320"/>
          </w:tcPr>
          <w:p>
            <w:r>
              <w:t>Worked Example</w:t>
            </w:r>
          </w:p>
        </w:tc>
        <w:tc>
          <w:tcPr>
            <w:tcW w:type="dxa" w:w="4320"/>
          </w:tcPr>
          <w:p>
            <w:r>
              <w:t>Customer has high DTI and many late payments. Score = 2.</w:t>
            </w:r>
          </w:p>
        </w:tc>
      </w:tr>
    </w:tbl>
    <w:p/>
    <w:p>
      <w:pPr>
        <w:pStyle w:val="Heading1"/>
      </w:pPr>
      <w:r>
        <w:t>Principal Data Science Interpretation</w:t>
      </w:r>
    </w:p>
    <w:p>
      <w:r>
        <w:t>At enterprise banking level, features should not be viewed as mathematical transformations only. Each feature represents encoded customer behavior such as affordability pressure, repayment deterioration, borrowing acceleration, repayment stability, or liquidity stress. The most powerful credit risk models are usually built from behavioral intelligence rather than model complexity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