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What Changes First? 15-Minute Precursors of 1-Hour Breakouts</w:t>
      </w:r>
    </w:p>
    <w:p>
      <w:pPr>
        <w:spacing w:after="120"/>
        <w:jc w:val="center"/>
      </w:pPr>
      <w:r>
        <w:rPr>
          <w:b/>
          <w:bCs/>
          <w:color w:val="555555"/>
        </w:rPr>
        <w:t xml:space="preserve">Binance USDT perpetual futures · Jan 2024 – Jun 2026 · 3,211 breakout events, 57 symbols</w:t>
      </w:r>
    </w:p>
    <w:p>
      <w:pPr>
        <w:pStyle w:val="Heading2"/>
      </w:pPr>
      <w:r>
        <w:t xml:space="preserve">1. Headline answers</w:t>
      </w:r>
    </w:p>
    <w:p>
      <w:pPr>
        <w:spacing w:after="120"/>
      </w:pPr>
      <w:r>
        <w:rPr>
          <w:b/>
          <w:bCs/>
        </w:rPr>
        <w:t xml:space="preserve">The hypothesis is confirmed.</w:t>
      </w:r>
      <w:r>
        <w:t xml:space="preserve"> Successful 1H breakouts are measurably different on the 15m chart hours before the 1H breakout candle closes — but the </w:t>
      </w:r>
      <w:r>
        <w:rPr>
          <w:i/>
          <w:iCs/>
        </w:rPr>
        <w:t xml:space="preserve">kind</w:t>
      </w:r>
      <w:r>
        <w:t xml:space="preserve"> of signal changes with distance from the breakout: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The volatility regime changes first (≥ 8¾ hours out, window-censored).</w:t>
      </w:r>
      <w:r>
        <w:t xml:space="preserve"> ATR percentile, historical volatility and 96-bar Donchian width separate future breakout markets from ordinary consolidations at </w:t>
      </w:r>
      <w:r>
        <w:rPr>
          <w:i/>
          <w:iCs/>
        </w:rPr>
        <w:t xml:space="preserve">every</w:t>
      </w:r>
      <w:r>
        <w:t xml:space="preserve"> offset we tested, out to the edge of the 8-hour lookback window. The effect is asymmetric: it is less that pre-breakout markets get loud, more that ordinary consolidations go quiet (control median ATR-percentile z = −0.40 at −8h vs −0.07 for events). A compression whose volatility floor </w:t>
      </w:r>
      <w:r>
        <w:rPr>
          <w:i/>
          <w:iCs/>
        </w:rPr>
        <w:t xml:space="preserve">holds</w:t>
      </w:r>
      <w:r>
        <w:t xml:space="preserve"> is the earliest tell.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Momentum turns next (≈ 4¼ hours out).</w:t>
      </w:r>
      <w:r>
        <w:t xml:space="preserve"> The 15m MACD histogram is the earliest significant </w:t>
      </w:r>
      <w:r>
        <w:rPr>
          <w:i/>
          <w:iCs/>
        </w:rPr>
        <w:t xml:space="preserve">directional</w:t>
      </w:r>
      <w:r>
        <w:t xml:space="preserve"> precursor (sustained from −255 min, AUC rising from 0.53 at −4h to 0.73 at the last bar before the breakout hour). ROC follows at −210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Participation arrives ≈ 3 hours out.</w:t>
      </w:r>
      <w:r>
        <w:t xml:space="preserve"> Trade-count z-score is significant from −180 min — transaction count leads volume (−135 min) by ~45 minutes, making it the single best participation variable.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Structure ignites in the last 2½ hours.</w:t>
      </w:r>
      <w:r>
        <w:t xml:space="preserve"> Pullback depth starts refilling from −180 min and becomes the strongest single structural signal (signed AUC 0.68 in the final hour); higher-low frequency turns from −150 min; close-location-value (closes near bar highs) from −105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much earlier than the breakout candle?</w:t>
      </w:r>
      <w:r>
        <w:t xml:space="preserve"> A composite detector built from the 8 surviving features, thresholded at a 10% false-positive rate on matched non-breakout consolidations, fires a </w:t>
      </w:r>
      <w:r>
        <w:rPr>
          <w:b/>
          <w:bCs/>
        </w:rPr>
        <w:t xml:space="preserve">median 255 minutes (≈ 4¼ h) before the 1H breakout close</w:t>
      </w:r>
      <w:r>
        <w:t xml:space="preserve"> (75% of detections ≥ 2h early, 52% ≥ 4h early) and enters a </w:t>
      </w:r>
      <w:r>
        <w:rPr>
          <w:b/>
          <w:bCs/>
        </w:rPr>
        <w:t xml:space="preserve">median 1.72 ATR cheaper</w:t>
      </w:r>
      <w:r>
        <w:t xml:space="preserve"> than the 1H confirmation close — against a median 24h post-breakout run of 4.30 ATR from the breakout level. It catches ~21% of successful breakouts at that false-positive cost; at 20% FPR it catches 36% with a median 300-minute lead.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The one thing the 15m tape does NOT tell you: which breakouts will succeed.</w:t>
      </w:r>
      <w:r>
        <w:t xml:space="preserve"> Success-vs-failure AUC is 0.48–0.53 for every one of the 38 variables. The pre-breakout tape identifies </w:t>
      </w:r>
      <w:r>
        <w:rPr>
          <w:i/>
          <w:iCs/>
        </w:rPr>
        <w:t xml:space="preserve">that</w:t>
      </w:r>
      <w:r>
        <w:t xml:space="preserve"> an expansion attempt is loading, not </w:t>
      </w:r>
      <w:r>
        <w:rPr>
          <w:i/>
          <w:iCs/>
        </w:rPr>
        <w:t xml:space="preserve">whether</w:t>
      </w:r>
      <w:r>
        <w:t xml:space="preserve"> it will hold. Filtering for quality has to come from somewhere else (HTF context).</w:t>
      </w:r>
    </w:p>
    <w:p>
      <w:pPr>
        <w:pStyle w:val="Heading2"/>
      </w:pPr>
      <w:r>
        <w:t xml:space="preserve">2. Methodology</w:t>
      </w:r>
    </w:p>
    <w:p>
      <w:pPr>
        <w:pStyle w:val="Heading3"/>
      </w:pPr>
      <w:r>
        <w:t xml:space="preserve">Data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Top 60 USDT perpetuals by 24h quote volume (stables excluded), Binance UM futures.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Monthly 15m and 1h klines from </w:t>
      </w:r>
      <w:r>
        <w:rPr>
          <w:rFonts w:ascii="Courier New" w:cs="Courier New" w:eastAsia="Courier New" w:hAnsi="Courier New"/>
        </w:rPr>
        <w:t xml:space="preserve">data.binance.vision</w:t>
      </w:r>
      <w:r>
        <w:t xml:space="preserve">, 2024-01 → 2026-06 (~4.7M 15m bars). Klines include trade count and taker-buy volume.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Derivatives: full funding-rate history via REST; open interest and long/short ratios from the daily </w:t>
      </w:r>
      <w:r>
        <w:rPr>
          <w:rFonts w:ascii="Courier New" w:cs="Courier New" w:eastAsia="Courier New" w:hAnsi="Courier New"/>
        </w:rPr>
        <w:t xml:space="preserve">metrics</w:t>
      </w:r>
      <w:r>
        <w:t xml:space="preserve"> archive (5-min granularity) for every event/control window.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Liquidation volume is not reproducible historically</w:t>
      </w:r>
      <w:r>
        <w:t xml:space="preserve"> from public Binance data (the force-order stream is real-time only, and there is no archive). Not tested.</w:t>
      </w:r>
    </w:p>
    <w:p>
      <w:pPr>
        <w:pStyle w:val="Heading3"/>
      </w:pPr>
      <w:r>
        <w:t xml:space="preserve">Event definition (objective, on completed 1H bars)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Breakout:</w:t>
      </w:r>
      <w:r>
        <w:t xml:space="preserve"> close above the prior 48-bar (2-day) Donchian high.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From compression:</w:t>
      </w:r>
      <w:r>
        <w:t xml:space="preserve"> the preceding 24-bar high-low range ≤ 4 × ATR(14) — the market must still look "ordinary" on the 1H before the break.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De-duplication:</w:t>
      </w:r>
      <w:r>
        <w:t xml:space="preserve"> ≥ 48 bars between events per symbol.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Success label:</w:t>
      </w:r>
      <w:r>
        <w:t xml:space="preserve"> from breakout level B, high reaches B + 2×ATR before low touches B − 1×ATR, within 24 hours (a 2R-before-1R outcome). 1,634 of 3,211 events (51%) succeeded. Analysis compares </w:t>
      </w:r>
      <w:r>
        <w:rPr>
          <w:b/>
          <w:bCs/>
        </w:rPr>
        <w:t xml:space="preserve">successful events vs controls</w:t>
      </w:r>
      <w:r>
        <w:t xml:space="preserve"> throughout.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Visibility timestamp:</w:t>
      </w:r>
      <w:r>
        <w:t xml:space="preserve"> the close of the breakout 1H candle. All lead times are measured against this moment.</w:t>
      </w:r>
    </w:p>
    <w:p>
      <w:pPr>
        <w:pStyle w:val="Heading3"/>
      </w:pPr>
      <w:r>
        <w:t xml:space="preserve">Controls</w:t>
      </w:r>
    </w:p>
    <w:p>
      <w:pPr>
        <w:spacing w:after="120"/>
      </w:pPr>
      <w:r>
        <w:t xml:space="preserve">6,422 windows passing the identical compression filter with </w:t>
      </w:r>
      <w:r>
        <w:rPr>
          <w:b/>
          <w:bCs/>
        </w:rPr>
        <w:t xml:space="preserve">no</w:t>
      </w:r>
      <w:r>
        <w:t xml:space="preserve"> Donchian break at the bar or in the following 24 hours — i.e. consolidations that stayed consolidations. Same symbols, same period, same de-dup spacing, 2 controls per event.</w:t>
      </w:r>
    </w:p>
    <w:p>
      <w:pPr>
        <w:pStyle w:val="Heading3"/>
      </w:pPr>
      <w:r>
        <w:t xml:space="preserve">Measurement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38 features computed on every 15m bar (list in §4), sampled at offsets −32 … −1 (8h → 15 min) before the breakout-hour open, plus 0…+3 inside the breakout hour.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Per-event robust normalisation:</w:t>
      </w:r>
      <w:r>
        <w:t xml:space="preserve"> every feature is z-scored against the </w:t>
      </w:r>
      <w:r>
        <w:rPr>
          <w:i/>
          <w:iCs/>
        </w:rPr>
        <w:t xml:space="preserve">same market's own</w:t>
      </w:r>
      <w:r>
        <w:t xml:space="preserve"> baseline 8–32 hours earlier (median/MAD), so results measure "how unusual vs this market's recent self", never cross-symbol scale.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Tests per feature × offset:</w:t>
      </w:r>
      <w:r>
        <w:t xml:space="preserve"> Mann-Whitney AUC (events vs controls) and one-sample Wilcoxon (event z vs 0), Benjamini-Hochberg FDR across all 38 × 36 tests.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Earliest lead:</w:t>
      </w:r>
      <w:r>
        <w:t xml:space="preserve"> most distant offset from which significance (q &lt; 0.05 and signed AUC ≥ 0.54) is sustained through to the breakout hour (one gap allowed).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Trigger stats:</w:t>
      </w:r>
      <w:r>
        <w:t xml:space="preserve"> per-feature threshold set at the 90th percentile of the control distribution → every feature is scored at a fixed 10% false-positive rate, making hit rates and leads directly comparable.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Consistency:</w:t>
      </w:r>
      <w:r>
        <w:t xml:space="preserve"> share of the 54 symbols (≥ 5 events each) whose own event-vs-control AUC agrees in direction with the global result.</w:t>
      </w:r>
    </w:p>
    <w:p>
      <w:pPr>
        <w:pStyle w:val="Heading2"/>
      </w:pPr>
      <w:r>
        <w:t xml:space="preserve">3. The timeline of a breakout (what changes, 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3343"/>
        <w:gridCol w:w="3343"/>
      </w:tblGrid>
      <w:tr>
        <w:trPr>
          <w:tblHeader/>
        </w:trP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(before 1H visibility)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≥ 8¾ h</w:t>
            </w:r>
            <w:r>
              <w:rPr>
                <w:sz w:val="20"/>
                <w:szCs w:val="20"/>
              </w:rPr>
              <w:t xml:space="preserve"> (censored at window edge)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Volatility regime holds up while ordinary consolidations decay: ATR percentile, HV(48), Donchian-96 width all elevated vs controls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0.55–0.58 at −8h, q &lt; 10⁻¹⁹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8 h → 4 h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future breakout looks like a </w:t>
            </w:r>
            <w:r>
              <w:rPr>
                <w:i/>
                <w:iCs/>
                <w:sz w:val="20"/>
                <w:szCs w:val="20"/>
              </w:rPr>
              <w:t xml:space="preserve">mature, deeper pullback</w:t>
            </w:r>
            <w:r>
              <w:rPr>
                <w:sz w:val="20"/>
                <w:szCs w:val="20"/>
              </w:rPr>
              <w:t xml:space="preserve">: more bars since the last 32-bar high, price further below the range high, more consecutive down closes than controls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pullback_depth AUC 0.557 at −8h (deep side)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−255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Momentum turn:</w:t>
            </w:r>
            <w:r>
              <w:rPr>
                <w:sz w:val="20"/>
                <w:szCs w:val="20"/>
              </w:rPr>
              <w:t xml:space="preserve"> MACD histogram flips and stays significant — the earliest directional signal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0.53 → 0.73 by −15 min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−210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Rate-of-change (8-bar) confirms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0.66 final hour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−180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Participation:</w:t>
            </w:r>
            <w:r>
              <w:rPr>
                <w:sz w:val="20"/>
                <w:szCs w:val="20"/>
              </w:rPr>
              <w:t xml:space="preserve"> trade-count z turns up (leads volume by ~45 min); pullback begins refilling — depth now </w:t>
            </w:r>
            <w:r>
              <w:rPr>
                <w:i/>
                <w:iCs/>
                <w:sz w:val="20"/>
                <w:szCs w:val="20"/>
              </w:rPr>
              <w:t xml:space="preserve">shrinking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trade_count AUC 0.62 at −15 min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−150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Structure: higher-low frequency rises, lower-high frequency falls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0.60 final hour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−135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Volume z / relative volume / dollar volume confirm; CVD slope turns positive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0.57–0.59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−120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Retail long/short ratio starts </w:t>
            </w:r>
            <w:r>
              <w:rPr>
                <w:i/>
                <w:iCs/>
                <w:sz w:val="20"/>
                <w:szCs w:val="20"/>
              </w:rPr>
              <w:t xml:space="preserve">falling</w:t>
            </w:r>
            <w:r>
              <w:rPr>
                <w:sz w:val="20"/>
                <w:szCs w:val="20"/>
              </w:rPr>
              <w:t xml:space="preserve"> (crowd fades the move)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0.57 (inverse)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−105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Close-location-value: 15m closes migrate to the top of their ranges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0.58, consistency 98%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−75 min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 confirmations only: ADX, distance-to-range-high, average spread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0.54–0.55</w:t>
            </w:r>
          </w:p>
        </w:tc>
      </w:tr>
      <w:tr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Breakout hour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Everything peaks; body expansion (body_atr) only becomes abnormal </w:t>
            </w:r>
            <w:r>
              <w:rPr>
                <w:i/>
                <w:iCs/>
                <w:sz w:val="20"/>
                <w:szCs w:val="20"/>
              </w:rPr>
              <w:t xml:space="preserve">inside</w:t>
            </w:r>
            <w:r>
              <w:rPr>
                <w:sz w:val="20"/>
                <w:szCs w:val="20"/>
              </w:rPr>
              <w:t xml:space="preserve"> this hour — candle size is a coincident signal, not a precursor</w:t>
            </w:r>
          </w:p>
        </w:tc>
        <w:tc>
          <w:tcPr>
            <w:tcW w:type="dxa" w:w="3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behavioural arc: </w:t>
      </w:r>
      <w:r>
        <w:rPr>
          <w:b/>
          <w:bCs/>
        </w:rPr>
        <w:t xml:space="preserve">an elevated-volatility compression → a mature pullback that quietly stops making progress downward → momentum flips → transactions pick up before volume → higher lows stack and closes pin to bar highs → the 1H candle everyone sees.</w:t>
      </w:r>
      <w:r>
        <w:t xml:space="preserve"> By the time the 1H breakout candle closes, the 15m tape has typically been abnormal for 3–4 hours.</w:t>
      </w:r>
    </w:p>
    <w:p>
      <w:pPr>
        <w:pStyle w:val="Heading2"/>
        <w:pageBreakBefore/>
      </w:pPr>
      <w:r>
        <w:t xml:space="preserve">4. Ranked variable report</w:t>
      </w:r>
    </w:p>
    <w:p>
      <w:pPr>
        <w:spacing w:after="120"/>
      </w:pPr>
      <w:r>
        <w:t xml:space="preserve">Full numbers in </w:t>
      </w:r>
      <w:r>
        <w:rPr>
          <w:rFonts w:ascii="Courier New" w:cs="Courier New" w:eastAsia="Courier New" w:hAnsi="Courier New"/>
        </w:rPr>
        <w:t xml:space="preserve">results/feature_stats.csv</w:t>
      </w:r>
      <w:r>
        <w:t xml:space="preserve">; per-offset detail in </w:t>
      </w:r>
      <w:r>
        <w:rPr>
          <w:rFonts w:ascii="Courier New" w:cs="Courier New" w:eastAsia="Courier New" w:hAnsi="Courier New"/>
        </w:rPr>
        <w:t xml:space="preserve">results/offset_stats.csv</w:t>
      </w:r>
      <w:r>
        <w:t xml:space="preserve">. "Lead" = sustained significance vs controls before the 1H close. "Hit@10%" = share of successful breakouts flagged by that feature alone at a fixed 10% FPR on controls. "Consist." = share of 54 symbols agreeing in direction. Redundancy: |ρ| &gt; 0.7 with a stronger kept feature (mean z, final 2h).</w:t>
      </w:r>
    </w:p>
    <w:p>
      <w:pPr>
        <w:pStyle w:val="Heading3"/>
      </w:pPr>
      <w:r>
        <w:t xml:space="preserve">KEEP — 8 non-redundant precursors (one per behaviour cluster)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78"/>
        <w:gridCol w:w="895"/>
        <w:gridCol w:w="1101"/>
        <w:gridCol w:w="826"/>
        <w:gridCol w:w="650"/>
        <w:gridCol w:w="650"/>
        <w:gridCol w:w="2110"/>
      </w:tblGrid>
      <w:tr>
        <w:trPr>
          <w:tblHeader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Cluster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Lead (min)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AUC final hr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Hit@10%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Consist.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MACD histogram</w:t>
            </w:r>
            <w:r>
              <w:rPr>
                <w:sz w:val="17"/>
                <w:szCs w:val="17"/>
              </w:rPr>
              <w:t xml:space="preserve"> (12/26/9, ATR-norm)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momentum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255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0.68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16%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96%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earliest directional signal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Pullback depth</w:t>
            </w:r>
            <w:r>
              <w:rPr>
                <w:sz w:val="17"/>
                <w:szCs w:val="17"/>
              </w:rPr>
              <w:t xml:space="preserve"> (vs 32-bar high, ATR)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structure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180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0.68 (inv)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deep early → refilling late; the flip is the signal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ATR percentile</w:t>
            </w:r>
            <w:r>
              <w:rPr>
                <w:sz w:val="17"/>
                <w:szCs w:val="17"/>
              </w:rPr>
              <w:t xml:space="preserve"> (480-bar)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vol regime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≥ 525</w:t>
            </w:r>
            <w:r>
              <w:rPr>
                <w:sz w:val="17"/>
                <w:szCs w:val="17"/>
              </w:rPr>
              <w:t xml:space="preserve"> (censored)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0.61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94%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strongest regime gate; also the best single trigger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Higher-low frequency</w:t>
            </w:r>
            <w:r>
              <w:rPr>
                <w:sz w:val="17"/>
                <w:szCs w:val="17"/>
              </w:rPr>
              <w:t xml:space="preserve"> (16-bar)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structure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150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0.60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13%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89%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 micro-structure read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Trade-count z</w:t>
            </w:r>
            <w:r>
              <w:rPr>
                <w:sz w:val="17"/>
                <w:szCs w:val="17"/>
              </w:rPr>
              <w:t xml:space="preserve"> (vs 24h)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participation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180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0.59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85%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leads volume by ~45 min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Donchian-96 width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vol regime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450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0.59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15%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87%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slow regime confirmation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HV(48)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vol regime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≥ 525</w:t>
            </w:r>
            <w:r>
              <w:rPr>
                <w:sz w:val="17"/>
                <w:szCs w:val="17"/>
              </w:rPr>
              <w:t xml:space="preserve"> (censored)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0.58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16%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81%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survives dedup vs ATR pct (ρ ≤ 0.7)</w:t>
            </w:r>
          </w:p>
        </w:tc>
      </w:tr>
      <w:t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Close-location value</w:t>
            </w:r>
          </w:p>
        </w:tc>
        <w:tc>
          <w:tcPr>
            <w:tcW w:type="dxa" w:w="8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behaviour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105</w:t>
            </w:r>
          </w:p>
        </w:tc>
        <w:tc>
          <w:tcPr>
            <w:tcW w:type="dxa" w:w="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0.58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98%</w:t>
            </w:r>
          </w:p>
        </w:tc>
        <w:tc>
          <w:tcPr>
            <w:tcW w:type="dxa" w:w="2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most consistent feature in the set; late but nearly universal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TEST FURTHER — real signal, but redundant or weaker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1"/>
        <w:gridCol w:w="918"/>
        <w:gridCol w:w="1101"/>
        <w:gridCol w:w="3670"/>
      </w:tblGrid>
      <w:tr>
        <w:trPr>
          <w:tblHeader/>
        </w:trP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Lead (min)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AUC final hr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not KEEP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RSI(14)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0.67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ρ &gt; 0.7 with pullback depth — same reclaim information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ROC(8)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210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0.66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of MACD histogram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EMA20 slope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0.64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of pullback depth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LinReg slope(20)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0.62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of pullback depth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ATR % of price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525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of ATR percentile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Lower-high frequency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0.60 (inv)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mirror of higher-low frequency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Dollar volume z / Volume z / Rel. volume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0.58–0.59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duplicate trade-count z, and lag it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Bollinger-band width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0.57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weaker cousin of the kept vol trio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Retail long/short ratio Δ4h</w:t>
            </w:r>
            <w:r>
              <w:rPr>
                <w:sz w:val="20"/>
                <w:szCs w:val="20"/>
              </w:rPr>
              <w:t xml:space="preserve"> (inverse)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0.57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 derivatives signal: crowd gets </w:t>
            </w:r>
            <w:r>
              <w:rPr>
                <w:i/>
                <w:iCs/>
                <w:sz w:val="20"/>
                <w:szCs w:val="20"/>
              </w:rPr>
              <w:t xml:space="preserve">shorter</w:t>
            </w:r>
            <w:r>
              <w:rPr>
                <w:sz w:val="20"/>
                <w:szCs w:val="20"/>
              </w:rPr>
              <w:t xml:space="preserve"> into the move; only 30-day-lagged public data, worth a dedicated study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CVD slope (taker-flow, 8-bar)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0.57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 but late and modest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Consecutive up-closes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0.56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crude version of CLV</w:t>
            </w:r>
          </w:p>
        </w:tc>
      </w:tr>
      <w:tr>
        <w:tc>
          <w:tcPr>
            <w:tcW w:type="dxa" w:w="36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Distance from 96-bar high</w:t>
            </w:r>
          </w:p>
        </w:tc>
        <w:tc>
          <w:tcPr>
            <w:tcW w:type="dxa" w:w="9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11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0.55 (inv)</w:t>
            </w:r>
          </w:p>
        </w:tc>
        <w:tc>
          <w:tcPr>
            <w:tcW w:type="dxa" w:w="3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direction flips across the window; hard to use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DISCARD — failed to justify inclusion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Taker-buy ratio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marginal (0.55) and adds nothing over CVD slope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Consecutive down-closes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early-phase curiosity, no reliable trigger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Bars-since-32-bar-high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early-phase only, consistency 65%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ADX(14)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coincident, not predictive</w:t>
            </w:r>
            <w:r>
              <w:rPr>
                <w:sz w:val="20"/>
                <w:szCs w:val="20"/>
              </w:rPr>
              <w:t xml:space="preserve"> — significant only from −75 min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Average spread (8-bar)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late, weak (0.54)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Candle body / ATR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abnormal only inside the breakout hour</w:t>
            </w:r>
            <w:r>
              <w:rPr>
                <w:sz w:val="20"/>
                <w:szCs w:val="20"/>
              </w:rPr>
              <w:t xml:space="preserve"> — this is the breakout, not a precursor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 fraction, upper/lower wick fractions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pure noise at every horizon (AUC ≈ 0.50)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compression 24v96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added value over the Donchian/ATR set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OI Δ1h / OI Δ4h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0.53–0.54, final 2h only, consistency 69% — OI follows price here, it does not lead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Funding rate, funding Δ24h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nothing (0.47–0.51); funding reprices after breakouts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Top-trader L/S Δ4h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precursor value (0.51); </w:t>
            </w:r>
            <w:r>
              <w:rPr>
                <w:i/>
                <w:iCs/>
                <w:sz w:val="20"/>
                <w:szCs w:val="20"/>
              </w:rPr>
              <w:t xml:space="preserve">only</w:t>
            </w:r>
            <w:r>
              <w:rPr>
                <w:sz w:val="20"/>
                <w:szCs w:val="20"/>
              </w:rPr>
              <w:t xml:space="preserve"> variable with a hint of success-prediction (succ-vs-fail AUC 0.53) — the single derivatives idea worth a follow-up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Taker long/short vol ratio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0.52, inconsistent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Liquidation volume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untestable</w:t>
            </w:r>
            <w:r>
              <w:rPr>
                <w:sz w:val="20"/>
                <w:szCs w:val="20"/>
              </w:rPr>
              <w:t xml:space="preserve"> — no public historical archive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t xml:space="preserve">5. Composite model (grouped 5-fold CV, no symbol overlap between folds)</w:t>
      </w:r>
    </w:p>
    <w:p>
      <w:pPr>
        <w:spacing w:after="120"/>
      </w:pPr>
      <w:r>
        <w:t xml:space="preserve">Logistic regression, successful events vs controls, features averaged per horizon band: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6"/>
        <w:gridCol w:w="3014"/>
      </w:tblGrid>
      <w:tr>
        <w:trPr>
          <w:tblHeader/>
        </w:trPr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Horizon before 1H visibility</w:t>
            </w:r>
          </w:p>
        </w:tc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Cross-validated AUC</w:t>
            </w:r>
          </w:p>
        </w:tc>
      </w:tr>
      <w:tr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4¼ – 8¾ h</w:t>
            </w:r>
          </w:p>
        </w:tc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0.639 ± 0.006</w:t>
            </w:r>
          </w:p>
        </w:tc>
      </w:tr>
      <w:tr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2¼ – 4¼ h</w:t>
            </w:r>
          </w:p>
        </w:tc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0.658 ± 0.012</w:t>
            </w:r>
          </w:p>
        </w:tc>
      </w:tr>
      <w:tr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– 2 h (last four 15m bars before the breakout hour)</w:t>
            </w:r>
          </w:p>
        </w:tc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0.798 ± 0.014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Sequential walk-forward detector (mean signed z of the 8 KEEP features, 2-bar persistence, threshold set on controls):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498"/>
        <w:gridCol w:w="2059"/>
        <w:gridCol w:w="1872"/>
        <w:gridCol w:w="1872"/>
      </w:tblGrid>
      <w:tr>
        <w:trPr>
          <w:tblHeader/>
        </w:trP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FPR</w:t>
            </w:r>
          </w:p>
        </w:tc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Hit rate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 lead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≥ 2h early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≥ 4h early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12.6%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240 min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74%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20.9%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255 min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75%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1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36.3%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 min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 the 10% operating point the detector's entry is a </w:t>
      </w:r>
      <w:r>
        <w:rPr>
          <w:b/>
          <w:bCs/>
        </w:rPr>
        <w:t xml:space="preserve">median 1.72 ATR below the 1H confirmation close</w:t>
      </w:r>
      <w:r>
        <w:t xml:space="preserve"> (IQR 1.14–2.38, n = 342), against a median 24h excursion of 4.30 ATR above the breakout level for successful events — early detection roughly </w:t>
      </w:r>
      <w:r>
        <w:rPr>
          <w:b/>
          <w:bCs/>
        </w:rPr>
        <w:t xml:space="preserve">doubles the favourable-excursion-to-risk ratio</w:t>
      </w:r>
      <w:r>
        <w:t xml:space="preserve"> relative to waiting for confirmation.</w:t>
      </w:r>
    </w:p>
    <w:p>
      <w:pPr>
        <w:pStyle w:val="Heading2"/>
      </w:pPr>
      <w:r>
        <w:t xml:space="preserve">6. Robustness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Across time:</w:t>
      </w:r>
      <w:r>
        <w:t xml:space="preserve"> all 8 KEEP features hold direction and magnitude in each of 2024 (533 events), 2025 (702) and 2026 (398). ATR percentile was strongest in 2025; momentum/structure features are remarkably flat across years.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Across markets:</w:t>
      </w:r>
      <w:r>
        <w:t xml:space="preserve"> consistency 81–100% across the 54 symbols with ≥ 5 events.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Multiple testing:</w:t>
      </w:r>
      <w:r>
        <w:t xml:space="preserve"> all quoted significance survives BH-FDR across 1,368 tests (typical top-feature q-values &lt; 10⁻³⁰ in the final hours).</w:t>
      </w:r>
    </w:p>
    <w:p>
      <w:pPr>
        <w:pStyle w:val="Heading2"/>
      </w:pPr>
      <w:r>
        <w:t xml:space="preserve">7. Honest limitations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Regime leads are censored:</w:t>
      </w:r>
      <w:r>
        <w:t xml:space="preserve"> the vol-regime trio is significant at the earliest offset tested (−8h); its true lead is longer. Extend the window if the exact onset matters.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The detector's hit rate is modest by design.</w:t>
      </w:r>
      <w:r>
        <w:t xml:space="preserve"> One in five successful breakouts flagged at 10% FPR is what a genuinely early signal looks like; most of the discriminating power (AUC 0.80) concentrates in the final 2 hours. There is no free 8-hour-early, 90%-hit-rate signal in this feature 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Long side only.</w:t>
      </w:r>
      <w:r>
        <w:t xml:space="preserve"> Downside breaks were not studied; wick/CLV asymmetries suggest shorts may differ.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Controls share the compression filter but not macro context</w:t>
      </w:r>
      <w:r>
        <w:t xml:space="preserve"> (BTC regime, session time). Both cut across events and controls symmetrically, but a session-time-stratified rerun is a sensible follow-up.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Success prediction is an open problem</w:t>
      </w:r>
      <w:r>
        <w:t xml:space="preserve"> — nothing on the 15m tape before the breakout separates the 51% that ran from the 49% that failed (top-trader positioning is the only lead worth chasing, AUC 0.53).</w:t>
      </w:r>
    </w:p>
    <w:p>
      <w:pPr>
        <w:pStyle w:val="Heading2"/>
      </w:pPr>
      <w:r>
        <w:t xml:space="preserve">8. Reproduce / extend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.venv/bin/python download_data.py     # ~375 MB klines cache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.venv/bin/python detect_breakouts.py  # events.json / controls.json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.venv/bin/python build_windows.py     # 15m feature windows (windows.pkl)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.venv/bin/python derivatives.py       # OI / L-S / funding windows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.venv/bin/python analyze.py           # feature_stats.csv, offset_stats.csv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.venv/bin/python composite.py         # composite CV + sequential detector</w:t>
      </w:r>
    </w:p>
    <w:p>
      <w:pPr>
        <w:spacing w:after="120"/>
      </w:pPr>
    </w:p>
    <w:p>
      <w:pPr>
        <w:spacing w:after="120"/>
      </w:pPr>
      <w:r>
        <w:t xml:space="preserve">Tunables live in </w:t>
      </w:r>
      <w:r>
        <w:rPr>
          <w:rFonts w:ascii="Courier New" w:cs="Courier New" w:eastAsia="Courier New" w:hAnsi="Courier New"/>
        </w:rPr>
        <w:t xml:space="preserve">config.py</w:t>
      </w:r>
      <w:r>
        <w:t xml:space="preserve"> (breakout rule, compression filter, success label, horizon bands, control ratio).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B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2026-07-04T01:17:52.770Z</dcterms:created>
  <dcterms:modified xsi:type="dcterms:W3CDTF">2026-07-04T01:17:52.771Z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