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4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85"/>
        <w:gridCol w:w="6990"/>
        <w:tblGridChange w:id="0">
          <w:tblGrid>
            <w:gridCol w:w="4485"/>
            <w:gridCol w:w="6990"/>
          </w:tblGrid>
        </w:tblGridChange>
      </w:tblGrid>
      <w:tr>
        <w:trPr>
          <w:trHeight w:val="79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rFonts w:ascii="Ubuntu" w:cs="Ubuntu" w:eastAsia="Ubuntu" w:hAnsi="Ubuntu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48"/>
                <w:szCs w:val="48"/>
              </w:rPr>
              <w:drawing>
                <wp:inline distB="114300" distT="114300" distL="114300" distR="114300">
                  <wp:extent cx="2695575" cy="2814638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814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2">
            <w:pPr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rFonts w:ascii="Ubuntu" w:cs="Ubuntu" w:eastAsia="Ubuntu" w:hAnsi="Ubuntu"/>
                <w:sz w:val="26"/>
                <w:szCs w:val="26"/>
              </w:rPr>
            </w:pPr>
            <w:r w:rsidDel="00000000" w:rsidR="00000000" w:rsidRPr="00000000">
              <w:rPr>
                <w:rFonts w:ascii="Ubuntu" w:cs="Ubuntu" w:eastAsia="Ubuntu" w:hAnsi="Ubuntu"/>
                <w:sz w:val="26"/>
                <w:szCs w:val="26"/>
                <w:rtl w:val="0"/>
              </w:rPr>
              <w:t xml:space="preserve">The array name b is like a pointer: </w:t>
            </w:r>
            <w:r w:rsidDel="00000000" w:rsidR="00000000" w:rsidRPr="00000000">
              <w:rPr>
                <w:rFonts w:ascii="Ubuntu" w:cs="Ubuntu" w:eastAsia="Ubuntu" w:hAnsi="Ubuntu"/>
                <w:b w:val="1"/>
                <w:sz w:val="26"/>
                <w:szCs w:val="26"/>
                <w:rtl w:val="0"/>
              </w:rPr>
              <w:t xml:space="preserve">b == &amp;b[0]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rFonts w:ascii="Ubuntu" w:cs="Ubuntu" w:eastAsia="Ubuntu" w:hAnsi="Ubuntu"/>
                <w:sz w:val="26"/>
                <w:szCs w:val="26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6"/>
                <w:szCs w:val="26"/>
                <w:rtl w:val="0"/>
              </w:rPr>
              <w:t xml:space="preserve">*b == *&amp;b[0]</w:t>
            </w:r>
            <w:r w:rsidDel="00000000" w:rsidR="00000000" w:rsidRPr="00000000">
              <w:rPr>
                <w:rFonts w:ascii="Ubuntu" w:cs="Ubuntu" w:eastAsia="Ubuntu" w:hAnsi="Ubuntu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Ubuntu" w:cs="Ubuntu" w:eastAsia="Ubuntu" w:hAnsi="Ubuntu"/>
                <w:b w:val="1"/>
                <w:sz w:val="26"/>
                <w:szCs w:val="26"/>
                <w:rtl w:val="0"/>
              </w:rPr>
              <w:t xml:space="preserve">== b[0]</w:t>
            </w:r>
          </w:p>
          <w:p w:rsidR="00000000" w:rsidDel="00000000" w:rsidP="00000000" w:rsidRDefault="00000000" w:rsidRPr="00000000" w14:paraId="00000004">
            <w:pPr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rFonts w:ascii="Ubuntu" w:cs="Ubuntu" w:eastAsia="Ubuntu" w:hAnsi="Ubuntu"/>
                <w:sz w:val="26"/>
                <w:szCs w:val="26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6"/>
                <w:szCs w:val="26"/>
                <w:rtl w:val="0"/>
              </w:rPr>
              <w:t xml:space="preserve">Subtraction</w:t>
            </w:r>
            <w:r w:rsidDel="00000000" w:rsidR="00000000" w:rsidRPr="00000000">
              <w:rPr>
                <w:rFonts w:ascii="Ubuntu" w:cs="Ubuntu" w:eastAsia="Ubuntu" w:hAnsi="Ubuntu"/>
                <w:sz w:val="26"/>
                <w:szCs w:val="26"/>
                <w:rtl w:val="0"/>
              </w:rPr>
              <w:t xml:space="preserve">:</w:t>
            </w:r>
            <w:r w:rsidDel="00000000" w:rsidR="00000000" w:rsidRPr="00000000">
              <w:rPr>
                <w:rFonts w:ascii="Ubuntu" w:cs="Ubuntu" w:eastAsia="Ubuntu" w:hAnsi="Ubuntu"/>
                <w:i w:val="1"/>
                <w:sz w:val="26"/>
                <w:szCs w:val="26"/>
                <w:rtl w:val="0"/>
              </w:rPr>
              <w:t xml:space="preserve"> pointer - pointer</w:t>
            </w:r>
            <w:r w:rsidDel="00000000" w:rsidR="00000000" w:rsidRPr="00000000">
              <w:rPr>
                <w:rFonts w:ascii="Ubuntu" w:cs="Ubuntu" w:eastAsia="Ubuntu" w:hAnsi="Ubuntu"/>
                <w:sz w:val="26"/>
                <w:szCs w:val="26"/>
                <w:rtl w:val="0"/>
              </w:rPr>
              <w:t xml:space="preserve"> is the number of values between the addresses.</w:t>
            </w:r>
          </w:p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rFonts w:ascii="Ubuntu" w:cs="Ubuntu" w:eastAsia="Ubuntu" w:hAnsi="Ubuntu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127828" cy="4852988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828" cy="4852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9060"/>
        <w:tblGridChange w:id="0">
          <w:tblGrid>
            <w:gridCol w:w="2340"/>
            <w:gridCol w:w="9060"/>
          </w:tblGrid>
        </w:tblGridChange>
      </w:tblGrid>
      <w:tr>
        <w:trPr>
          <w:trHeight w:val="2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  <w:rtl w:val="0"/>
              </w:rPr>
              <w:t xml:space="preserve">Precedences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  <w:rtl w:val="0"/>
              </w:rPr>
              <w:t xml:space="preserve">NOT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  <w:rtl w:val="0"/>
              </w:rPr>
              <w:t xml:space="preserve">AND/NAND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  <w:rtl w:val="0"/>
              </w:rPr>
              <w:t xml:space="preserve">OR/XOR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  <w:rtl w:val="0"/>
              </w:rPr>
              <w:t xml:space="preserve">IMPL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highlight w:val="white"/>
                <w:rtl w:val="0"/>
              </w:rPr>
              <w:t xml:space="preserve">IFF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rFonts w:ascii="Ubuntu" w:cs="Ubuntu" w:eastAsia="Ubuntu" w:hAnsi="Ubuntu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margin">
                    <wp:posOffset>1014413</wp:posOffset>
                  </wp:positionH>
                  <wp:positionV relativeFrom="paragraph">
                    <wp:posOffset>0</wp:posOffset>
                  </wp:positionV>
                  <wp:extent cx="3509963" cy="1242658"/>
                  <wp:effectExtent b="0" l="0" r="0" t="0"/>
                  <wp:wrapSquare wrapText="bothSides" distB="114300" distT="114300" distL="114300" distR="11430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963" cy="12426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8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6.6666666666665"/>
        <w:gridCol w:w="3936.6666666666665"/>
        <w:gridCol w:w="3936.6666666666665"/>
        <w:tblGridChange w:id="0">
          <w:tblGrid>
            <w:gridCol w:w="3936.6666666666665"/>
            <w:gridCol w:w="3936.6666666666665"/>
            <w:gridCol w:w="3936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sz w:val="28"/>
                <w:szCs w:val="28"/>
                <w:rtl w:val="0"/>
              </w:rPr>
              <w:t xml:space="preserve">Setting a bit</w:t>
            </w:r>
          </w:p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Use the bitwise OR operator (|) to set a bit.</w:t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highlight w:val="yellow"/>
                <w:rtl w:val="0"/>
              </w:rPr>
              <w:t xml:space="preserve">number |= 1 &lt;&lt; x;</w:t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That will set bit x.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8"/>
                <w:szCs w:val="28"/>
                <w:rtl w:val="0"/>
              </w:rPr>
              <w:t xml:space="preserve">Clearing a bit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Use the bitwise AND operator (&amp;) to clear a bit.</w:t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highlight w:val="yellow"/>
                <w:rtl w:val="0"/>
              </w:rPr>
              <w:t xml:space="preserve">number &amp;= ~(1 &lt;&lt; x);</w:t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That will clear bit x.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8"/>
                <w:szCs w:val="28"/>
                <w:rtl w:val="0"/>
              </w:rPr>
              <w:t xml:space="preserve">Toggling a bit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The XOR operator (^) can be used to toggle a bit.</w:t>
            </w:r>
          </w:p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highlight w:val="yellow"/>
                <w:rtl w:val="0"/>
              </w:rPr>
              <w:t xml:space="preserve">number ^= 1 &lt;&lt; x;</w:t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That will toggle bit x.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8"/>
                <w:szCs w:val="28"/>
                <w:rtl w:val="0"/>
              </w:rPr>
              <w:t xml:space="preserve">Checking a bit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To check a bit, shift the number x to the right, then bitwise AND it:</w:t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highlight w:val="yellow"/>
                <w:rtl w:val="0"/>
              </w:rPr>
              <w:t xml:space="preserve">bit = (number &gt;&gt; x) &amp; 1;</w:t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8"/>
                <w:szCs w:val="28"/>
                <w:rtl w:val="0"/>
              </w:rPr>
              <w:t xml:space="preserve">Changing the (n)th bit to 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Setting the nth bit to either 1 or 0 can be achieved with the following:</w:t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highlight w:val="yellow"/>
                <w:rtl w:val="0"/>
              </w:rPr>
              <w:t xml:space="preserve">number ^= (-x ^ number) &amp; (1 &lt;&lt; n);</w:t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sz w:val="28"/>
                <w:szCs w:val="28"/>
                <w:rtl w:val="0"/>
              </w:rPr>
              <w:t xml:space="preserve">Mask with Runs of (1-0-1)</w:t>
            </w:r>
          </w:p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Ubuntu" w:cs="Ubuntu" w:eastAsia="Ubuntu" w:hAnsi="Ubuntu"/>
                <w:sz w:val="16"/>
                <w:szCs w:val="16"/>
                <w:rtl w:val="0"/>
              </w:rPr>
              <w:t xml:space="preserve">0…0000 1 000 =</w:t>
            </w:r>
            <w:r w:rsidDel="00000000" w:rsidR="00000000" w:rsidRPr="00000000">
              <w:rPr>
                <w:rFonts w:ascii="Ubuntu" w:cs="Ubuntu" w:eastAsia="Ubuntu" w:hAnsi="Ubuntu"/>
                <w:b w:val="1"/>
                <w:sz w:val="16"/>
                <w:szCs w:val="16"/>
                <w:rtl w:val="0"/>
              </w:rPr>
              <w:t xml:space="preserve"> 1 &lt;&lt; 3 </w:t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Ubuntu" w:cs="Ubuntu" w:eastAsia="Ubuntu" w:hAnsi="Ubuntu"/>
                <w:sz w:val="16"/>
                <w:szCs w:val="16"/>
                <w:rtl w:val="0"/>
              </w:rPr>
              <w:t xml:space="preserve">0…0000 0111  =</w:t>
            </w:r>
            <w:r w:rsidDel="00000000" w:rsidR="00000000" w:rsidRPr="00000000">
              <w:rPr>
                <w:rFonts w:ascii="Ubuntu" w:cs="Ubuntu" w:eastAsia="Ubuntu" w:hAnsi="Ubuntu"/>
                <w:b w:val="1"/>
                <w:sz w:val="16"/>
                <w:szCs w:val="16"/>
                <w:rtl w:val="0"/>
              </w:rPr>
              <w:t xml:space="preserve">  (1 &lt;&lt; 3) - 1 </w:t>
            </w:r>
          </w:p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Ubuntu" w:cs="Ubuntu" w:eastAsia="Ubuntu" w:hAnsi="Ubuntu"/>
                <w:sz w:val="16"/>
                <w:szCs w:val="16"/>
                <w:rtl w:val="0"/>
              </w:rPr>
              <w:t xml:space="preserve">0…000 111 00 =</w:t>
            </w:r>
            <w:r w:rsidDel="00000000" w:rsidR="00000000" w:rsidRPr="00000000">
              <w:rPr>
                <w:rFonts w:ascii="Ubuntu" w:cs="Ubuntu" w:eastAsia="Ubuntu" w:hAnsi="Ubuntu"/>
                <w:b w:val="1"/>
                <w:sz w:val="16"/>
                <w:szCs w:val="16"/>
                <w:rtl w:val="0"/>
              </w:rPr>
              <w:t xml:space="preserve"> ((1 &lt;&lt; 3) - 1) &lt;&lt; 2 </w:t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Ubuntu" w:cs="Ubuntu" w:eastAsia="Ubuntu" w:hAnsi="Ubuntu"/>
                <w:sz w:val="16"/>
                <w:szCs w:val="16"/>
                <w:rtl w:val="0"/>
              </w:rPr>
              <w:t xml:space="preserve">1…111 000 11 =</w:t>
            </w:r>
            <w:r w:rsidDel="00000000" w:rsidR="00000000" w:rsidRPr="00000000">
              <w:rPr>
                <w:rFonts w:ascii="Ubuntu" w:cs="Ubuntu" w:eastAsia="Ubuntu" w:hAnsi="Ubuntu"/>
                <w:b w:val="1"/>
                <w:sz w:val="16"/>
                <w:szCs w:val="16"/>
                <w:rtl w:val="0"/>
              </w:rPr>
              <w:t xml:space="preserve"> ~(((1 &lt;&lt; 3) - 1) &lt;&lt; 2)</w:t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highlight w:val="yellow"/>
                <w:rtl w:val="0"/>
              </w:rPr>
              <w:t xml:space="preserve">~(((1 &lt;&lt; 3) - 1) &lt;&lt; 2)</w:t>
            </w:r>
          </w:p>
        </w:tc>
      </w:tr>
    </w:tbl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Helvetica Neue" w:cs="Helvetica Neue" w:eastAsia="Helvetica Neue" w:hAnsi="Helvetica Neue"/>
          <w:b w:val="1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highlight w:val="white"/>
          <w:rtl w:val="0"/>
        </w:rPr>
        <w:t xml:space="preserve">Von Neumann Architecture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Helvetica Neue" w:cs="Helvetica Neue" w:eastAsia="Helvetica Neue" w:hAnsi="Helvetica Neue"/>
          <w:b w:val="1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850.0" w:type="dxa"/>
        <w:jc w:val="left"/>
        <w:tblInd w:w="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60"/>
        <w:gridCol w:w="6090"/>
        <w:tblGridChange w:id="0">
          <w:tblGrid>
            <w:gridCol w:w="5760"/>
            <w:gridCol w:w="6090"/>
          </w:tblGrid>
        </w:tblGridChange>
      </w:tblGrid>
      <w:tr>
        <w:trPr>
          <w:trHeight w:val="65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(a) What are the three main parts of a von Neumann computer?</w:t>
            </w:r>
          </w:p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CPU, Memory, and I/O devices</w:t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(b) What is unique about Von Neumann architecture?</w:t>
            </w:r>
          </w:p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Programs are stored as data in memory.</w:t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(c) What are the parts of the CPU?</w:t>
            </w:r>
          </w:p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Control unit and (Arithmetical/Logical) Processing Unit</w:t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(a) What is the Memory Address Register?</w:t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The (MAR) holds the location to read or write</w:t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(b) What is the Memory Data Register?</w:t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It holds the value read from memory or the value to write to memory.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(c) What are the steps involved in reading and writing memory?</w:t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To read: Set MAR to the address to read;</w:t>
            </w:r>
          </w:p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signal Read;</w:t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Find the value in the MDR and copy it out to wherever.</w:t>
            </w:r>
          </w:p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To write: Set (MAR) to the address to read;</w:t>
            </w:r>
          </w:p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white"/>
                <w:rtl w:val="0"/>
              </w:rPr>
              <w:t xml:space="preserve">Set MDR ← value to write;</w:t>
            </w:r>
          </w:p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Signal Write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What does the Program Counter point to? Why is it badly named?</w:t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The PC points to the next instruction to execute.</w:t>
            </w:r>
          </w:p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What are the three basic types of instructions?</w:t>
            </w:r>
          </w:p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Calculation instructions</w:t>
            </w: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 use and create values;</w:t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Data movement instructions</w:t>
            </w: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 move data to/from memory;</w:t>
            </w:r>
          </w:p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Control instructions</w:t>
            </w: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 perform goto operations.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(a) What are the phases of the instruction cycle?</w:t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Fetch Instruction, Decode Instruction, Evaluate Addresses, Fetch</w:t>
            </w:r>
          </w:p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Operands, Execute Instruction, Store Results.</w:t>
            </w:r>
          </w:p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What are the steps of the Fetch Instruction phase?</w:t>
            </w:r>
          </w:p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Read the instruction pointed to the program counter from memory into the instruction register; then increment the program counter</w:t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During the Decode Instruction phase of the instruction cycle, where is the instruction being decoded?</w:t>
            </w:r>
          </w:p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The instruction is in the instruction register.</w:t>
            </w:r>
          </w:p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What happens during the Evaluate Addresses (a.k.a Get Effective</w:t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Addresses) phase of the instruction cycle? Why is this phase sometimes skipped?</w:t>
            </w:r>
          </w:p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We figure out where the operands are stored; this could be a register number or a memory address.</w:t>
            </w:r>
          </w:p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What happens during the Fetch Operands phase of the instruction cycle? From where can operands be fetched?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During Fetch Operands we actually retrieve the operand values from a register, from memory, or from part of the instruction register.</w:t>
            </w:r>
          </w:p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(f) What happens during the Store Results phase of the instruction cycle? To where can results be stored? Why is the phase sometimes skipped?</w:t>
            </w:r>
          </w:p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rFonts w:ascii="Verdana" w:cs="Verdana" w:eastAsia="Verdana" w:hAnsi="Verdana"/>
                <w:b w:val="1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During Store Results, values calculated during Execute Instruction are moved to memory or CPU registers. This phase is skipped if there are no instructions.</w:t>
            </w:r>
          </w:p>
        </w:tc>
      </w:tr>
    </w:tbl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215.99999999999997" w:top="215.99999999999997" w:left="215.99999999999997" w:right="215.9999999999999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Georgia"/>
  <w:font w:name="Verdana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