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FASTCHIP SEMICONDUCTOR — STANDARD OPERATING PROCEDURE</w:t>
      </w:r>
    </w:p>
    <w:p>
      <w:r>
        <w:t>**Document Number:** SOP-PE-042</w:t>
      </w:r>
    </w:p>
    <w:p>
      <w:r>
        <w:t>**Revision:** 4.0 (Annual Review &amp; Automotive Lessons Learned Update)</w:t>
      </w:r>
    </w:p>
    <w:p>
      <w:r>
        <w:t>**Effective Date:** May 27, 2024</w:t>
      </w:r>
    </w:p>
    <w:p>
      <w:r>
        <w:t>**Title:** Product Engineering Division Operating Procedures: Yield Management, Reliability Qualification, and Customer Escalation Protocol</w:t>
      </w:r>
    </w:p>
    <w:p>
      <w:r>
        <w:t>**Author:** Lisa Park, Product Engineering Manager</w:t>
      </w:r>
    </w:p>
    <w:p>
      <w:r>
        <w:t>**Approved By:** Mike Chen, VP Product Engineering | Anna Becker, Quality Manager</w:t>
      </w:r>
    </w:p>
    <w:p>
      <w:r>
        <w:t>**Scope:** All Product Engineering, Yield, Test, Reliability, and Failure Analysis Operations</w:t>
      </w:r>
    </w:p>
    <w:p>
      <w:r>
        <w:t>---</w:t>
      </w:r>
    </w:p>
    <w:p>
      <w:pPr>
        <w:pStyle w:val="Heading2"/>
      </w:pPr>
      <w:r>
        <w:t>1. Purpose &amp; Scope</w:t>
      </w:r>
    </w:p>
    <w:p>
      <w:r>
        <w:t>This Standard Operating Procedure (SOP) governs the mandatory operating workflows within the Product Engineering (PE) division of FastChip Semiconductor. It defines standardized requirements for:</w:t>
      </w:r>
    </w:p>
    <w:p>
      <w:r>
        <w:t>1. Silicon probe yield tracking, defect excursion containment, and fab review cadence.</w:t>
      </w:r>
    </w:p>
    <w:p>
      <w:r>
        <w:t>2. Automated Test Equipment (ATE) test program development, test time benchmarking, and release gates.</w:t>
      </w:r>
    </w:p>
    <w:p>
      <w:r>
        <w:t>3. AEC-Q100 automotive reliability qualification methodology and intermediate readout protocols.</w:t>
      </w:r>
    </w:p>
    <w:p>
      <w:r>
        <w:t>4. Customer technical escalation governance and 8D corrective action execution.</w:t>
      </w:r>
    </w:p>
    <w:p>
      <w:r>
        <w:t>This revision incorporates mandatory organizational safeguards established during the Volta-7 automotive ramp.</w:t>
      </w:r>
    </w:p>
    <w:p>
      <w:r>
        <w:t>---</w:t>
      </w:r>
    </w:p>
    <w:p>
      <w:pPr>
        <w:pStyle w:val="Heading2"/>
      </w:pPr>
      <w:r>
        <w:t>2. Yield Monitoring Cadence &amp; Excursion Containment</w:t>
      </w:r>
    </w:p>
    <w:p>
      <w:r>
        <w:t>1. **Daily Lot Probe Tracking:** Yield Engineers must inspect daily wafer probe logs across all active lots using the FastChip Yield Server.</w:t>
      </w:r>
    </w:p>
    <w:p>
      <w:r>
        <w:t>2. **Yield Threshold Trigger Levels:**</w:t>
      </w:r>
    </w:p>
    <w:p>
      <w:r>
        <w:t>- **Green (Normal):** Lot packageable yield meets or exceeds entitlement model (&gt;70% for mature, &gt;65% for NPI ramp).</w:t>
      </w:r>
    </w:p>
    <w:p>
      <w:r>
        <w:t>- **Yellow (Advisory):** Lot yield falls between 5% and 10% below entitlement. Yield Engineer must perform spatial signature clustering analysis and issue an engineering advisory note to the fab within 24 hours.</w:t>
      </w:r>
    </w:p>
    <w:p>
      <w:r>
        <w:t>- **Red (Excursion):** Lot yield falls &gt;10% below entitlement (e.g., Volta-7 Rev A opening at 41%).</w:t>
      </w:r>
    </w:p>
    <w:p>
      <w:r>
        <w:t>3. **Mandatory Red Excursion Protocol:**</w:t>
      </w:r>
    </w:p>
    <w:p>
      <w:r>
        <w:t>- Yield Engineer issues an immediate Fab Containment Notice halting wafer release from the affected process loop.</w:t>
      </w:r>
    </w:p>
    <w:p>
      <w:r>
        <w:t>- Failure Analysis (FA) Engineer pulls a minimum of five failing dies representing the primary Pareto bin for non-destructive curve tracing and cross-sectional SEM/FIB within 72 hours.</w:t>
      </w:r>
    </w:p>
    <w:p>
      <w:r>
        <w:t>- Product Engineering Manager convenes an Emergency Fab Alignment review with foundry process integration.</w:t>
      </w:r>
    </w:p>
    <w:p>
      <w:r>
        <w:t>---</w:t>
      </w:r>
    </w:p>
    <w:p>
      <w:pPr>
        <w:pStyle w:val="Heading2"/>
      </w:pPr>
      <w:r>
        <w:t>3. ATE Test Program Release &amp; Execution Standards</w:t>
      </w:r>
    </w:p>
    <w:p>
      <w:r>
        <w:t>1. **DFT Verification Gate:** Test Engineering Leads shall not accept design test vectors without written verification of 100% scan chain continuity and completed register documentation from the Design Interface Engineer.</w:t>
      </w:r>
    </w:p>
    <w:p>
      <w:r>
        <w:t>2. **Test Time Budget Governance:** Every NPI product business case defines a maximum allowable ATE test execution time ($T_{MAX}$).</w:t>
      </w:r>
    </w:p>
    <w:p>
      <w:r>
        <w:t>- Test programs exceeding $T_{MAX}$ (e.g., initial Volta-7 running at 6.4s vs 3.2s budget) cannot be transferred to overseas high-volume backend manufacturing.</w:t>
      </w:r>
    </w:p>
    <w:p>
      <w:r>
        <w:t>- Optimization techniques—including concurrent ADC/DAC sampling, burst ATPG vector compression, and multi-site parallelism—must be implemented during the NPI characterization phase.</w:t>
      </w:r>
    </w:p>
    <w:p>
      <w:r>
        <w:t>3. **Tri-Temperature Test Qualification:** Automotive products require tri-temp qualification screening:</w:t>
      </w:r>
    </w:p>
    <w:p>
      <w:r>
        <w:t>- Cold: $-40^\circ	ext{C} \pm 2^\circ	ext{C}$</w:t>
      </w:r>
    </w:p>
    <w:p>
      <w:r>
        <w:t>- Ambient: $+25^\circ	ext{C} \pm 2^\circ	ext{C}$</w:t>
      </w:r>
    </w:p>
    <w:p>
      <w:r>
        <w:t>- Hot: $+125^\circ	ext{C} 	ext{ or } +150^\circ	ext{C} \pm 3^\circ	ext{C}$ (per AEC-Q100 temperature grade).</w:t>
      </w:r>
    </w:p>
    <w:p>
      <w:r>
        <w:t>- Test guardbands must be statistically established using a minimum of 30 standard deviations ($\pm 6\sigma$) from characterization distribution tails.</w:t>
      </w:r>
    </w:p>
    <w:p>
      <w:r>
        <w:t>---</w:t>
      </w:r>
    </w:p>
    <w:p>
      <w:pPr>
        <w:pStyle w:val="Heading2"/>
      </w:pPr>
      <w:r>
        <w:t>4. Automotive Reliability Qualification (AEC-Q100)</w:t>
      </w:r>
    </w:p>
    <w:p>
      <w:r>
        <w:t>1. **Qualification Sample Sizes:** Minimum sample requirements for AEC-Q100 Grade 1 qualification:</w:t>
      </w:r>
    </w:p>
    <w:p>
      <w:r>
        <w:t>- **HTOL (JESD22-A108):** 77 units per lot across 3 non-consecutive wafer lots (231 units total), 1000 hours at $T_A = 125^\circ	ext{C}$, $T_J = 150^\circ	ext{C}$, $V_{DD} = 1.25	imes 	ext{nominal}$. Zero failures allowed ($C=0$).</w:t>
      </w:r>
    </w:p>
    <w:p>
      <w:r>
        <w:t>- **Temperature Cycling (JESD22-A104):** 77 units/lot $	imes$ 3 lots, 1000 cycles from $-55^\circ	ext{C}$ to $+150^\circ	ext{C}$.</w:t>
      </w:r>
    </w:p>
    <w:p>
      <w:r>
        <w:t>- **HAST (JESD22-A118):** 77 units/lot $	imes$ 3 lots, 96 hours at $130^\circ	ext{C} / 85\%	ext{ RH}$.</w:t>
      </w:r>
    </w:p>
    <w:p>
      <w:r>
        <w:t>- **ESD Robustness (AEC-Q100-002/-011):** HBM $\ge 2.0	ext{ kV}$, CDM $\ge 750	ext{ V}$.</w:t>
      </w:r>
    </w:p>
    <w:p>
      <w:r>
        <w:t>2. **Intermediate Readout Gate Policy:**</w:t>
      </w:r>
    </w:p>
    <w:p>
      <w:r>
        <w:t>- Intermediate electrical test pulls (168h, 500h) are strictly mandatory.</w:t>
      </w:r>
    </w:p>
    <w:p>
      <w:r>
        <w:t>- **Zero Tolerance Policy:** Any single functional or parametric failure during an intermediate readout (e.g., Volta-7 500-hour failure) immediately halts qualification, revokes customer shipping authorization, and triggers an emergency 8D escalation.</w:t>
      </w:r>
    </w:p>
    <w:p>
      <w:r>
        <w:t>---</w:t>
      </w:r>
    </w:p>
    <w:p>
      <w:pPr>
        <w:pStyle w:val="Heading2"/>
      </w:pPr>
      <w:r>
        <w:t>5. Customer Escalation &amp; 8D Corrective Action Protocol</w:t>
      </w:r>
    </w:p>
    <w:p>
      <w:r>
        <w:t>1. **Escalation Notification:** In the event of a qualification failure or critical sample defect affecting customer deliverables, the Field Application Engineer (FAE) and Quality Manager must notify executive leadership within 4 hours.</w:t>
      </w:r>
    </w:p>
    <w:p>
      <w:r>
        <w:t>2. **8D Response Milestones:**</w:t>
      </w:r>
    </w:p>
    <w:p>
      <w:r>
        <w:t>- **D1–D3 (Team, Description, Containment):** Transmitted to customer within 48 hours.</w:t>
      </w:r>
    </w:p>
    <w:p>
      <w:r>
        <w:t>- **D4–D5 (Root Cause, Corrective Action Plan):** Transmitted to customer within 14 calendar days.</w:t>
      </w:r>
    </w:p>
    <w:p>
      <w:r>
        <w:t>- **D6–D8 (Validation, Recurrence Prevention, Closure):** Submitted upon completion of qualification re-testing.</w:t>
      </w:r>
    </w:p>
    <w:p>
      <w:r>
        <w:t>3. **Mandatory Design-to-PE Handoff Checklist:** Prior to any mask tape-out or silicon revision, Design Interface and Product Engineering must complete and sign Form PE-CHK-01. No foundry design rule waivers (including IO clamp sizing and metal pitch spacing) may be granted without unanimous approval from the PE Manager, Reliability Engineer, and Quality Manager.</w:t>
      </w:r>
    </w:p>
  </w:body>
</w:document>
</file>