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1F3A68"/>
          <w:sz w:val="40"/>
        </w:rPr>
        <w:t>FASTCHIP SEMICONDUCTOR — FAILURE ANALYSIS LAB REPORT</w:t>
      </w:r>
    </w:p>
    <w:p>
      <w:pPr>
        <w:spacing w:after="40"/>
      </w:pPr>
      <w:r>
        <w:rPr>
          <w:b/>
          <w:i w:val="0"/>
        </w:rPr>
        <w:t>Report Number:</w:t>
      </w:r>
      <w:r>
        <w:rPr>
          <w:b w:val="0"/>
          <w:i w:val="0"/>
        </w:rPr>
        <w:t xml:space="preserve"> FA-2026-0312</w:t>
      </w:r>
    </w:p>
    <w:p>
      <w:pPr>
        <w:spacing w:after="40"/>
      </w:pPr>
      <w:r>
        <w:rPr>
          <w:b/>
          <w:i w:val="0"/>
        </w:rPr>
        <w:t>Classification:</w:t>
      </w:r>
      <w:r>
        <w:rPr>
          <w:b w:val="0"/>
          <w:i w:val="0"/>
        </w:rPr>
        <w:t xml:space="preserve"> Proprietary — Automotive Quality &amp; Reliability Division</w:t>
      </w:r>
    </w:p>
    <w:p>
      <w:pPr>
        <w:spacing w:after="40"/>
      </w:pPr>
      <w:r>
        <w:rPr>
          <w:b/>
          <w:i w:val="0"/>
        </w:rPr>
        <w:t>Date:</w:t>
      </w:r>
      <w:r>
        <w:rPr>
          <w:b w:val="0"/>
          <w:i w:val="0"/>
        </w:rPr>
        <w:t xml:space="preserve"> March 12, 2026</w:t>
      </w:r>
    </w:p>
    <w:p>
      <w:pPr>
        <w:spacing w:after="40"/>
      </w:pPr>
      <w:r>
        <w:rPr>
          <w:b/>
          <w:i w:val="0"/>
        </w:rPr>
        <w:t>Author:</w:t>
      </w:r>
      <w:r>
        <w:rPr>
          <w:b w:val="0"/>
          <w:i w:val="0"/>
        </w:rPr>
        <w:t xml:space="preserve"> Rosa Santos, Senior Failure Analysis Engineer</w:t>
      </w:r>
    </w:p>
    <w:p>
      <w:pPr>
        <w:spacing w:after="40"/>
      </w:pPr>
      <w:r>
        <w:rPr>
          <w:b/>
          <w:i w:val="0"/>
        </w:rPr>
        <w:t>Requester:</w:t>
      </w:r>
      <w:r>
        <w:rPr>
          <w:b w:val="0"/>
          <w:i w:val="0"/>
        </w:rPr>
        <w:t xml:space="preserve"> Kevin Tran, Reliability Engineer | Anna Becker, Quality Manager</w:t>
      </w:r>
    </w:p>
    <w:p>
      <w:pPr>
        <w:spacing w:after="40"/>
      </w:pPr>
      <w:r>
        <w:rPr>
          <w:b/>
          <w:i w:val="0"/>
        </w:rPr>
        <w:t>Subject:</w:t>
      </w:r>
      <w:r>
        <w:rPr>
          <w:b w:val="0"/>
          <w:i w:val="0"/>
        </w:rPr>
        <w:t xml:space="preserve"> Destructive Physical Analysis of 3 Unit Failures during AEC-Q100 500-Hour HTOL Readout</w:t>
      </w:r>
    </w:p>
    <w:p>
      <w:pPr>
        <w:spacing w:after="40"/>
      </w:pPr>
      <w:r>
        <w:rPr>
          <w:b/>
          <w:i w:val="0"/>
        </w:rPr>
        <w:t>Device Under Test (DUT):</w:t>
      </w:r>
      <w:r>
        <w:rPr>
          <w:b w:val="0"/>
          <w:i w:val="0"/>
        </w:rPr>
        <w:t xml:space="preserve"> Volta-7 Automotive EV Inverter Controller, Rev A Silicon</w:t>
      </w:r>
    </w:p>
    <w:p>
      <w:pPr>
        <w:spacing w:after="40"/>
      </w:pPr>
      <w:r>
        <w:rPr>
          <w:b/>
          <w:i w:val="0"/>
        </w:rPr>
        <w:t>Affected Lots / Units:</w:t>
      </w:r>
      <w:r>
        <w:rPr>
          <w:b w:val="0"/>
          <w:i w:val="0"/>
        </w:rPr>
        <w:t xml:space="preserve"> Lot LOT-V7-005 | Serial Numbers: U162, U189, U215</w:t>
      </w:r>
    </w:p>
    <w:p>
      <w:pPr>
        <w:spacing w:after="40"/>
      </w:pPr>
      <w:r>
        <w:rPr>
          <w:b/>
          <w:i w:val="0"/>
        </w:rPr>
        <w:t>Package:</w:t>
      </w:r>
      <w:r>
        <w:rPr>
          <w:b w:val="0"/>
          <w:i w:val="0"/>
        </w:rPr>
        <w:t xml:space="preserve"> 48-Pin Quad Flat No-Lead (QFN-48, 7x7 mm, Wettable Flank)</w:t>
      </w:r>
    </w:p>
    <w:p>
      <w:pPr>
        <w:pStyle w:val="Heading1"/>
      </w:pPr>
      <w:r>
        <w:t>1. Failure Background &amp; Electrical Verification</w:t>
      </w:r>
    </w:p>
    <w:p>
      <w:r>
        <w:rPr>
          <w:b w:val="0"/>
          <w:i w:val="0"/>
        </w:rPr>
        <w:t>During the execution of AEC-Q100 Grade 1 High Temperature Operating Life (HTOL) qualification testing (1000 hours target at TJ = 150°C, ambient chamber temperature TA = 125°C, core voltage VDD = 1.15V [1.25x nominal], IO voltage VDDIO = 5.25V), intermediate electrical screening at the 500-hour gate revealed catastrophic functional and parametric failure on three units (U162, U189, U215) from qualification lot LOT-V7-005.</w:t>
      </w:r>
    </w:p>
    <w:p>
      <w:r>
        <w:rPr>
          <w:b w:val="0"/>
          <w:i w:val="0"/>
        </w:rPr>
        <w:t>Initial bench curve tracing and automated ATE re-test in Austin Test Lab confirmed identical electrical failure signatures across all three devices:</w:t>
      </w:r>
    </w:p>
    <w:p>
      <w:pPr>
        <w:pStyle w:val="ListBullet"/>
      </w:pPr>
      <w:r>
        <w:rPr>
          <w:b/>
          <w:i w:val="0"/>
        </w:rPr>
        <w:t>Pin 14 (CAN-FD High-Speed Transmitter Pin):</w:t>
      </w:r>
      <w:r>
        <w:rPr>
          <w:b w:val="0"/>
          <w:i w:val="0"/>
        </w:rPr>
        <w:t xml:space="preserve"> Exhibited dead-short impedance to VSS. Measured resistance: 18.2 Ω on U162, 21.4 Ω on U189, and 16.9 Ω on U215 (normal un-stressed specification: &gt;10 MΩ).</w:t>
      </w:r>
    </w:p>
    <w:p>
      <w:pPr>
        <w:pStyle w:val="ListBullet"/>
      </w:pPr>
      <w:r>
        <w:rPr>
          <w:b/>
          <w:i w:val="0"/>
        </w:rPr>
        <w:t>Pin 22 (LIN Bus Master/Slave Transceiver Pin):</w:t>
      </w:r>
      <w:r>
        <w:rPr>
          <w:b w:val="0"/>
          <w:i w:val="0"/>
        </w:rPr>
        <w:t xml:space="preserve"> Exhibited high reverse leakage to VSS. Measured leakage current: 1.8 mA at 3.3V bias (specification limit: &lt;1.0 µA).</w:t>
      </w:r>
    </w:p>
    <w:p>
      <w:pPr>
        <w:pStyle w:val="ListBullet"/>
      </w:pPr>
      <w:r>
        <w:rPr>
          <w:b/>
          <w:i w:val="0"/>
        </w:rPr>
        <w:t>Functional Impact:</w:t>
      </w:r>
      <w:r>
        <w:rPr>
          <w:b w:val="0"/>
          <w:i w:val="0"/>
        </w:rPr>
        <w:t xml:space="preserve"> Complete loss of CAN-FD physical layer differential signaling; device fails ATPG test patterns for mixed-signal peripheral communication.</w:t>
      </w:r>
    </w:p>
    <w:p>
      <w:r>
        <w:rPr>
          <w:b/>
          <w:i/>
        </w:rPr>
        <w:t>Summary of HTOL Readout Failure Tracking</w:t>
      </w:r>
    </w:p>
    <w:tbl>
      <w:tblPr>
        <w:tblStyle w:val="TableGrid"/>
        <w:tblW w:type="auto" w:w="0"/>
        <w:tblLook w:firstColumn="1" w:firstRow="1" w:lastColumn="0" w:lastRow="0" w:noHBand="0" w:noVBand="1" w:val="04A0"/>
        <w:tblBorders>
          <w:top w:val="single" w:sz="4" w:space="0" w:color="8EA9C9"/>
          <w:left w:val="single" w:sz="4" w:space="0" w:color="8EA9C9"/>
          <w:bottom w:val="single" w:sz="4" w:space="0" w:color="8EA9C9"/>
          <w:right w:val="single" w:sz="4" w:space="0" w:color="8EA9C9"/>
          <w:insideH w:val="single" w:sz="4" w:space="0" w:color="8EA9C9"/>
          <w:insideV w:val="single" w:sz="4" w:space="0" w:color="8EA9C9"/>
        </w:tblBorders>
      </w:tblPr>
      <w:tblGrid>
        <w:gridCol w:w="1930"/>
        <w:gridCol w:w="1930"/>
        <w:gridCol w:w="1930"/>
        <w:gridCol w:w="1930"/>
        <w:gridCol w:w="1930"/>
      </w:tblGrid>
      <w:tr>
        <w:tc>
          <w:tcPr>
            <w:tcW w:type="dxa" w:w="1930"/>
            <w:shd w:val="clear" w:color="auto" w:fill="DCE6F2"/>
          </w:tcPr>
          <w:p>
            <w:r>
              <w:rPr>
                <w:b/>
              </w:rPr>
            </w:r>
            <w:r>
              <w:rPr>
                <w:b/>
                <w:i w:val="0"/>
                <w:sz w:val="18"/>
              </w:rPr>
              <w:t>Unit ID</w:t>
            </w:r>
          </w:p>
        </w:tc>
        <w:tc>
          <w:tcPr>
            <w:tcW w:type="dxa" w:w="1930"/>
            <w:shd w:val="clear" w:color="auto" w:fill="DCE6F2"/>
          </w:tcPr>
          <w:p>
            <w:r>
              <w:rPr>
                <w:b/>
              </w:rPr>
            </w:r>
            <w:r>
              <w:rPr>
                <w:b/>
                <w:i w:val="0"/>
                <w:sz w:val="18"/>
              </w:rPr>
              <w:t>Silicon Lot</w:t>
            </w:r>
          </w:p>
        </w:tc>
        <w:tc>
          <w:tcPr>
            <w:tcW w:type="dxa" w:w="1930"/>
            <w:shd w:val="clear" w:color="auto" w:fill="DCE6F2"/>
          </w:tcPr>
          <w:p>
            <w:r>
              <w:rPr>
                <w:b/>
              </w:rPr>
            </w:r>
            <w:r>
              <w:rPr>
                <w:b/>
                <w:i w:val="0"/>
                <w:sz w:val="18"/>
              </w:rPr>
              <w:t>Stress Gate</w:t>
            </w:r>
          </w:p>
        </w:tc>
        <w:tc>
          <w:tcPr>
            <w:tcW w:type="dxa" w:w="1930"/>
            <w:shd w:val="clear" w:color="auto" w:fill="DCE6F2"/>
          </w:tcPr>
          <w:p>
            <w:r>
              <w:rPr>
                <w:b/>
              </w:rPr>
            </w:r>
            <w:r>
              <w:rPr>
                <w:b/>
                <w:i w:val="0"/>
                <w:sz w:val="18"/>
              </w:rPr>
              <w:t>Failing Pin(s)</w:t>
            </w:r>
          </w:p>
        </w:tc>
        <w:tc>
          <w:tcPr>
            <w:tcW w:type="dxa" w:w="1930"/>
            <w:shd w:val="clear" w:color="auto" w:fill="DCE6F2"/>
          </w:tcPr>
          <w:p>
            <w:r>
              <w:rPr>
                <w:b/>
              </w:rPr>
            </w:r>
            <w:r>
              <w:rPr>
                <w:b/>
                <w:i w:val="0"/>
                <w:sz w:val="18"/>
              </w:rPr>
              <w:t>Measured Resistance</w:t>
            </w:r>
          </w:p>
        </w:tc>
      </w:tr>
      <w:tr>
        <w:tc>
          <w:tcPr>
            <w:tcW w:type="dxa" w:w="1930"/>
          </w:tcPr>
          <w:p>
            <w:r/>
            <w:r>
              <w:rPr>
                <w:b w:val="0"/>
                <w:i w:val="0"/>
                <w:sz w:val="18"/>
              </w:rPr>
              <w:t>U162</w:t>
            </w:r>
          </w:p>
        </w:tc>
        <w:tc>
          <w:tcPr>
            <w:tcW w:type="dxa" w:w="1930"/>
          </w:tcPr>
          <w:p>
            <w:r/>
            <w:r>
              <w:rPr>
                <w:b w:val="0"/>
                <w:i w:val="0"/>
                <w:sz w:val="18"/>
              </w:rPr>
              <w:t>LOT-V7-005</w:t>
            </w:r>
          </w:p>
        </w:tc>
        <w:tc>
          <w:tcPr>
            <w:tcW w:type="dxa" w:w="1930"/>
          </w:tcPr>
          <w:p>
            <w:r/>
            <w:r>
              <w:rPr>
                <w:b w:val="0"/>
                <w:i w:val="0"/>
                <w:sz w:val="18"/>
              </w:rPr>
              <w:t>500 Hours</w:t>
            </w:r>
          </w:p>
        </w:tc>
        <w:tc>
          <w:tcPr>
            <w:tcW w:type="dxa" w:w="1930"/>
          </w:tcPr>
          <w:p>
            <w:r/>
            <w:r>
              <w:rPr>
                <w:b w:val="0"/>
                <w:i w:val="0"/>
                <w:sz w:val="18"/>
              </w:rPr>
              <w:t>Pin 14 (CAN_TX)</w:t>
            </w:r>
          </w:p>
        </w:tc>
        <w:tc>
          <w:tcPr>
            <w:tcW w:type="dxa" w:w="1930"/>
          </w:tcPr>
          <w:p>
            <w:r/>
            <w:r>
              <w:rPr>
                <w:b w:val="0"/>
                <w:i w:val="0"/>
                <w:sz w:val="18"/>
              </w:rPr>
              <w:t>18.2 Ω to VSS (Short)</w:t>
            </w:r>
          </w:p>
        </w:tc>
      </w:tr>
      <w:tr>
        <w:tc>
          <w:tcPr>
            <w:tcW w:type="dxa" w:w="1930"/>
          </w:tcPr>
          <w:p>
            <w:r/>
            <w:r>
              <w:rPr>
                <w:b w:val="0"/>
                <w:i w:val="0"/>
                <w:sz w:val="18"/>
              </w:rPr>
              <w:t>U189</w:t>
            </w:r>
          </w:p>
        </w:tc>
        <w:tc>
          <w:tcPr>
            <w:tcW w:type="dxa" w:w="1930"/>
          </w:tcPr>
          <w:p>
            <w:r/>
            <w:r>
              <w:rPr>
                <w:b w:val="0"/>
                <w:i w:val="0"/>
                <w:sz w:val="18"/>
              </w:rPr>
              <w:t>LOT-V7-005</w:t>
            </w:r>
          </w:p>
        </w:tc>
        <w:tc>
          <w:tcPr>
            <w:tcW w:type="dxa" w:w="1930"/>
          </w:tcPr>
          <w:p>
            <w:r/>
            <w:r>
              <w:rPr>
                <w:b w:val="0"/>
                <w:i w:val="0"/>
                <w:sz w:val="18"/>
              </w:rPr>
              <w:t>500 Hours</w:t>
            </w:r>
          </w:p>
        </w:tc>
        <w:tc>
          <w:tcPr>
            <w:tcW w:type="dxa" w:w="1930"/>
          </w:tcPr>
          <w:p>
            <w:r/>
            <w:r>
              <w:rPr>
                <w:b w:val="0"/>
                <w:i w:val="0"/>
                <w:sz w:val="18"/>
              </w:rPr>
              <w:t>Pin 14 (CAN_TX)</w:t>
            </w:r>
          </w:p>
        </w:tc>
        <w:tc>
          <w:tcPr>
            <w:tcW w:type="dxa" w:w="1930"/>
          </w:tcPr>
          <w:p>
            <w:r/>
            <w:r>
              <w:rPr>
                <w:b w:val="0"/>
                <w:i w:val="0"/>
                <w:sz w:val="18"/>
              </w:rPr>
              <w:t>21.4 Ω to VSS (Short)</w:t>
            </w:r>
          </w:p>
        </w:tc>
      </w:tr>
      <w:tr>
        <w:tc>
          <w:tcPr>
            <w:tcW w:type="dxa" w:w="1930"/>
          </w:tcPr>
          <w:p>
            <w:r/>
            <w:r>
              <w:rPr>
                <w:b w:val="0"/>
                <w:i w:val="0"/>
                <w:sz w:val="18"/>
              </w:rPr>
              <w:t>U215</w:t>
            </w:r>
          </w:p>
        </w:tc>
        <w:tc>
          <w:tcPr>
            <w:tcW w:type="dxa" w:w="1930"/>
          </w:tcPr>
          <w:p>
            <w:r/>
            <w:r>
              <w:rPr>
                <w:b w:val="0"/>
                <w:i w:val="0"/>
                <w:sz w:val="18"/>
              </w:rPr>
              <w:t>LOT-V7-005</w:t>
            </w:r>
          </w:p>
        </w:tc>
        <w:tc>
          <w:tcPr>
            <w:tcW w:type="dxa" w:w="1930"/>
          </w:tcPr>
          <w:p>
            <w:r/>
            <w:r>
              <w:rPr>
                <w:b w:val="0"/>
                <w:i w:val="0"/>
                <w:sz w:val="18"/>
              </w:rPr>
              <w:t>500 Hours</w:t>
            </w:r>
          </w:p>
        </w:tc>
        <w:tc>
          <w:tcPr>
            <w:tcW w:type="dxa" w:w="1930"/>
          </w:tcPr>
          <w:p>
            <w:r/>
            <w:r>
              <w:rPr>
                <w:b w:val="0"/>
                <w:i w:val="0"/>
                <w:sz w:val="18"/>
              </w:rPr>
              <w:t>Pin 22 (LIN_IO)</w:t>
            </w:r>
          </w:p>
        </w:tc>
        <w:tc>
          <w:tcPr>
            <w:tcW w:type="dxa" w:w="1930"/>
          </w:tcPr>
          <w:p>
            <w:r/>
            <w:r>
              <w:rPr>
                <w:b w:val="0"/>
                <w:i w:val="0"/>
                <w:sz w:val="18"/>
              </w:rPr>
              <w:t>16.9 Ω to VSS (Short)</w:t>
            </w:r>
          </w:p>
        </w:tc>
      </w:tr>
    </w:tbl>
    <w:p/>
    <w:p>
      <w:pPr>
        <w:pStyle w:val="Heading1"/>
      </w:pPr>
      <w:r>
        <w:t>2. Non-Destructive Analysis &amp; Fault Localization</w:t>
      </w:r>
    </w:p>
    <w:p>
      <w:pPr>
        <w:ind w:left="432" w:hanging="360"/>
      </w:pPr>
      <w:r>
        <w:t xml:space="preserve">1. </w:t>
      </w:r>
      <w:r>
        <w:rPr>
          <w:b/>
          <w:i w:val="0"/>
        </w:rPr>
        <w:t>Acoustic Microscopy (C-SAM):</w:t>
      </w:r>
      <w:r>
        <w:rPr>
          <w:b w:val="0"/>
          <w:i w:val="0"/>
        </w:rPr>
        <w:t xml:space="preserve"> High-frequency ultrasound inspection (230 MHz transducer) was performed on all three units to inspect for mold compound delamination, die-attach voids, or package cracks. No package mechanical anomalies or delamination interfaces were detected.</w:t>
      </w:r>
    </w:p>
    <w:p>
      <w:pPr>
        <w:ind w:left="432" w:hanging="360"/>
      </w:pPr>
      <w:r>
        <w:t xml:space="preserve">2. </w:t>
      </w:r>
      <w:r>
        <w:rPr>
          <w:b/>
          <w:i w:val="0"/>
        </w:rPr>
        <w:t>X-Ray Radiography:</w:t>
      </w:r>
      <w:r>
        <w:rPr>
          <w:b w:val="0"/>
          <w:i w:val="0"/>
        </w:rPr>
        <w:t xml:space="preserve"> 2D real-time micro-focus X-ray confirmed proper wire-bond loop geometry, gold bond ball placement, and lead-frame integrity with zero evidence of electrical overstress (EOS) fusing on the bond wires.</w:t>
      </w:r>
    </w:p>
    <w:p>
      <w:pPr>
        <w:ind w:left="432" w:hanging="360"/>
      </w:pPr>
      <w:r>
        <w:t xml:space="preserve">3. </w:t>
      </w:r>
      <w:r>
        <w:rPr>
          <w:b/>
          <w:i w:val="0"/>
        </w:rPr>
        <w:t>Decapsulation:</w:t>
      </w:r>
      <w:r>
        <w:rPr>
          <w:b w:val="0"/>
          <w:i w:val="0"/>
        </w:rPr>
        <w:t xml:space="preserve"> Units U162 and U189 were chemically decapsulated using automated fuming nitric and sulfuric acid etching (60:40 ratio at 90°C), successfully exposing the copper metallization and passivation without inducing mechanical damage.</w:t>
      </w:r>
    </w:p>
    <w:p>
      <w:pPr>
        <w:ind w:left="432" w:hanging="360"/>
      </w:pPr>
      <w:r>
        <w:t xml:space="preserve">4. </w:t>
      </w:r>
      <w:r>
        <w:rPr>
          <w:b/>
          <w:i w:val="0"/>
        </w:rPr>
        <w:t>Thermal Emission Microscopy (EMMI) &amp; OBIRCH:</w:t>
      </w:r>
      <w:r>
        <w:rPr>
          <w:b w:val="0"/>
          <w:i w:val="0"/>
        </w:rPr>
        <w:t xml:space="preserve"> Biasing Pin 14 at 1.8V with current compliance set to 10 mA revealed an intense, pinpoint optical emission hotspot located in the lower-right perimeter IO pad ring, specifically situated within the primary ESD protection cell. OBIRCH (Optical Beam Induced Resistance Change) mapping confirmed localized current crowding at the drain fingers of the rail-clamp NMOS transistor.</w:t>
      </w:r>
    </w:p>
    <w:p>
      <w:pPr>
        <w:pStyle w:val="Heading1"/>
      </w:pPr>
      <w:r>
        <w:t>3. Destructive Deprocessing &amp; Microscopic Examination</w:t>
      </w:r>
    </w:p>
    <w:p>
      <w:r>
        <w:rPr>
          <w:b w:val="0"/>
          <w:i w:val="0"/>
        </w:rPr>
        <w:t>Following fault localization, Unit U162 was subjected to selective reactive ion etching (RIE) to strip the polyimide passivation, followed by wet chemical deprocessing down to the gate oxide and active diffusion layers.</w:t>
      </w:r>
    </w:p>
    <w:p>
      <w:pPr>
        <w:ind w:left="432" w:hanging="360"/>
      </w:pPr>
      <w:r>
        <w:t xml:space="preserve">1. </w:t>
      </w:r>
      <w:r>
        <w:rPr>
          <w:b/>
          <w:i w:val="0"/>
        </w:rPr>
        <w:t>High-Resolution SEM Inspection:</w:t>
      </w:r>
      <w:r>
        <w:rPr>
          <w:b w:val="0"/>
          <w:i w:val="0"/>
        </w:rPr>
        <w:t xml:space="preserve"> Scanning Electron Microscopy (Hitachi S-4800 at 5.0 kV) revealed extensive localized melting and dielectric blowout centered along the third drain diffusion finger of the primary ESD clamp structure. The surrounding silicon nitride passivation exhibited micro-cracking caused by localized thermal expansion.</w:t>
      </w:r>
    </w:p>
    <w:p>
      <w:pPr>
        <w:ind w:left="432" w:hanging="360"/>
      </w:pPr>
      <w:r>
        <w:t xml:space="preserve">2. </w:t>
      </w:r>
      <w:r>
        <w:rPr>
          <w:b/>
          <w:i w:val="0"/>
        </w:rPr>
        <w:t>Focused Ion Beam (FIB) Cross-Sectioning:</w:t>
      </w:r>
      <w:r>
        <w:rPr>
          <w:b w:val="0"/>
          <w:i w:val="0"/>
        </w:rPr>
        <w:t xml:space="preserve"> Dual-beam FIB (FEI Helios NanoLab) was utilized to cut a precision transverse cross-section through the center of the hotspot.</w:t>
      </w:r>
    </w:p>
    <w:p>
      <w:pPr>
        <w:ind w:left="432" w:hanging="360"/>
      </w:pPr>
      <w:r>
        <w:t xml:space="preserve">3. </w:t>
      </w:r>
      <w:r>
        <w:rPr>
          <w:b/>
          <w:i w:val="0"/>
        </w:rPr>
        <w:t>Microstructural Observations:</w:t>
      </w:r>
    </w:p>
    <w:p>
      <w:pPr>
        <w:pStyle w:val="ListBullet"/>
      </w:pPr>
      <w:r>
        <w:rPr>
          <w:b w:val="0"/>
          <w:i w:val="0"/>
        </w:rPr>
        <w:t>Severe gate oxide rupture (thickness 5.2 nm) with catastrophic silicon-aluminum interdiffusion.</w:t>
      </w:r>
    </w:p>
    <w:p>
      <w:pPr>
        <w:pStyle w:val="ListBullet"/>
      </w:pPr>
      <w:r>
        <w:rPr>
          <w:b w:val="0"/>
          <w:i w:val="0"/>
        </w:rPr>
        <w:t>Formation of a conductive silicon-copper melt filament spanning directly from the Metal 1 contact plug through the degraded drain junction into the p-well substrate.</w:t>
      </w:r>
    </w:p>
    <w:p>
      <w:pPr>
        <w:pStyle w:val="ListBullet"/>
      </w:pPr>
      <w:r>
        <w:rPr>
          <w:b w:val="0"/>
          <w:i w:val="0"/>
        </w:rPr>
        <w:t>Clear evidence of thermal runaway and secondary breakdown (snapback trigger failure) under sustained DC bias at 150°C.</w:t>
      </w:r>
    </w:p>
    <w:p>
      <w:pPr>
        <w:pStyle w:val="Heading1"/>
      </w:pPr>
      <w:r>
        <w:t>4. Root Cause Physics &amp; Layout Investigation</w:t>
      </w:r>
    </w:p>
    <w:p>
      <w:r>
        <w:rPr>
          <w:b w:val="0"/>
          <w:i w:val="0"/>
        </w:rPr>
        <w:t>Cross-functional collaboration with Design Interface Engineer Sara Nolan revealed a critical discrepancy between the silicon layout and the automotive AEC-Q100 Grade 1 design guidelines:</w:t>
      </w:r>
    </w:p>
    <w:p>
      <w:pPr>
        <w:ind w:left="432" w:hanging="360"/>
      </w:pPr>
      <w:r>
        <w:t xml:space="preserve">1. </w:t>
      </w:r>
      <w:r>
        <w:rPr>
          <w:b/>
          <w:i w:val="0"/>
        </w:rPr>
        <w:t>Cell Library Substitution:</w:t>
      </w:r>
      <w:r>
        <w:rPr>
          <w:b w:val="0"/>
          <w:i w:val="0"/>
        </w:rPr>
        <w:t xml:space="preserve"> The IO pad cells for the high-voltage transceivers on Volta-7 were originally specified to utilize the automotive-grade ESD cell </w:t>
      </w:r>
      <w:r>
        <w:rPr>
          <w:rFonts w:ascii="Consolas" w:hAnsi="Consolas"/>
          <w:b w:val="0"/>
          <w:i w:val="0"/>
        </w:rPr>
        <w:t>ESD_CLAMP_HV_280</w:t>
      </w:r>
      <w:r>
        <w:rPr>
          <w:b w:val="0"/>
          <w:i w:val="0"/>
        </w:rPr>
        <w:t>, featuring an aggregate channel width of 280 µm distributed across 16 fingers. However, during tape-out closure in November 2025, the layout team encountered severe routing congestion along the perimeter pad pitch.</w:t>
      </w:r>
    </w:p>
    <w:p>
      <w:pPr>
        <w:ind w:left="432" w:hanging="360"/>
      </w:pPr>
      <w:r>
        <w:t xml:space="preserve">2. </w:t>
      </w:r>
      <w:r>
        <w:rPr>
          <w:b/>
          <w:i w:val="0"/>
        </w:rPr>
        <w:t>Undersized Clamp Implementation:</w:t>
      </w:r>
      <w:r>
        <w:rPr>
          <w:b w:val="0"/>
          <w:i w:val="0"/>
        </w:rPr>
        <w:t xml:space="preserve"> To resolve DRC routing pitch density, the commercial library cell </w:t>
      </w:r>
      <w:r>
        <w:rPr>
          <w:rFonts w:ascii="Consolas" w:hAnsi="Consolas"/>
          <w:b w:val="0"/>
          <w:i w:val="0"/>
        </w:rPr>
        <w:t>ESD_CLAMP_HV_120</w:t>
      </w:r>
      <w:r>
        <w:rPr>
          <w:b w:val="0"/>
          <w:i w:val="0"/>
        </w:rPr>
        <w:t xml:space="preserve"> (aggregate channel width of only 120 µm, 6 fingers) was substituted under an internal engineering waiver without consulting Product Engineering or Reliability.</w:t>
      </w:r>
    </w:p>
    <w:p>
      <w:pPr>
        <w:ind w:left="432" w:hanging="360"/>
      </w:pPr>
      <w:r>
        <w:t xml:space="preserve">3. </w:t>
      </w:r>
      <w:r>
        <w:rPr>
          <w:b/>
          <w:i w:val="0"/>
        </w:rPr>
        <w:t>Thermal-Electrical Breakdown Mechanism:</w:t>
      </w:r>
    </w:p>
    <w:p>
      <w:pPr>
        <w:pStyle w:val="ListBullet"/>
      </w:pPr>
      <w:r>
        <w:rPr>
          <w:b w:val="0"/>
          <w:i w:val="0"/>
        </w:rPr>
        <w:t>Under standard 25°C room ambient conditions, the 120 µm clamp provides sufficient transient ESD protection for 2 kV HBM discharge.</w:t>
      </w:r>
    </w:p>
    <w:p>
      <w:pPr>
        <w:pStyle w:val="ListBullet"/>
      </w:pPr>
      <w:r>
        <w:rPr>
          <w:b w:val="0"/>
          <w:i w:val="0"/>
        </w:rPr>
        <w:t>However, under HTOL qualification conditions (TA = 125°C, TJ = 150°C, continuous 5.25V bias on the IO rail), the intrinsic carrier concentration in the narrow 120 µm drain junction increased by four orders of magnitude.</w:t>
      </w:r>
    </w:p>
    <w:p>
      <w:pPr>
        <w:pStyle w:val="ListBullet"/>
      </w:pPr>
      <w:r>
        <w:rPr>
          <w:b w:val="0"/>
          <w:i w:val="0"/>
        </w:rPr>
        <w:t>The leakage current exceeded the thermal dissipation capability of the small silicon area, triggering the parasitic NPN bipolar transistor into high-current snapback.</w:t>
      </w:r>
    </w:p>
    <w:p>
      <w:pPr>
        <w:pStyle w:val="ListBullet"/>
      </w:pPr>
      <w:r>
        <w:rPr>
          <w:b w:val="0"/>
          <w:i w:val="0"/>
        </w:rPr>
        <w:t>With no external ballast resistance to limit current, the clamp suffered immediate thermal runaway, melting the dielectric oxide and forming an irreversible permanent short circuit to ground.</w:t>
      </w:r>
    </w:p>
    <w:p>
      <w:pPr>
        <w:pStyle w:val="Heading1"/>
      </w:pPr>
      <w:r>
        <w:t>5. Failure Analysis Conclusions &amp; Corrective Actions</w:t>
      </w:r>
    </w:p>
    <w:p>
      <w:pPr>
        <w:ind w:left="432" w:hanging="360"/>
      </w:pPr>
      <w:r>
        <w:t xml:space="preserve">1. </w:t>
      </w:r>
      <w:r>
        <w:rPr>
          <w:b/>
          <w:i w:val="0"/>
        </w:rPr>
        <w:t>Conclusive Root Cause:</w:t>
      </w:r>
      <w:r>
        <w:rPr>
          <w:b w:val="0"/>
          <w:i w:val="0"/>
        </w:rPr>
        <w:t xml:space="preserve"> The 500-hour HTOL failure is a deterministic silicon design marginality caused by an undersized (120 µm vs required 280 µm) ESD rail-clamp NMOS transistor in the IO pad ring. It is NOT caused by fab particulate defectivity, CMP polishing anomalies, or test socket EOS.</w:t>
      </w:r>
    </w:p>
    <w:p>
      <w:pPr>
        <w:ind w:left="432" w:hanging="360"/>
      </w:pPr>
      <w:r>
        <w:t xml:space="preserve">2. </w:t>
      </w:r>
      <w:r>
        <w:rPr>
          <w:b/>
          <w:i w:val="0"/>
        </w:rPr>
        <w:t>Material Impact:</w:t>
      </w:r>
      <w:r>
        <w:rPr>
          <w:b w:val="0"/>
          <w:i w:val="0"/>
        </w:rPr>
        <w:t xml:space="preserve"> All Volta-7 Rev A silicon incorporates this layout flaw and is inherently incapable of passing 1000-hour AEC-Q100 Grade 1 automotive reliability qualification.</w:t>
      </w:r>
    </w:p>
    <w:p>
      <w:pPr>
        <w:ind w:left="432" w:hanging="360"/>
      </w:pPr>
      <w:r>
        <w:t xml:space="preserve">3. </w:t>
      </w:r>
      <w:r>
        <w:rPr>
          <w:b/>
          <w:i w:val="0"/>
        </w:rPr>
        <w:t>Corrective Action Mandate:</w:t>
      </w:r>
    </w:p>
    <w:p>
      <w:pPr>
        <w:pStyle w:val="ListBullet"/>
      </w:pPr>
      <w:r>
        <w:rPr>
          <w:b w:val="0"/>
          <w:i w:val="0"/>
        </w:rPr>
        <w:t xml:space="preserve">Immediate silicon mask redesign (Volta-7 Rev B) replacing all IO clamp cells with the certified 280 µm </w:t>
      </w:r>
      <w:r>
        <w:rPr>
          <w:rFonts w:ascii="Consolas" w:hAnsi="Consolas"/>
          <w:b w:val="0"/>
          <w:i w:val="0"/>
        </w:rPr>
        <w:t>ESD_CLAMP_HV_280</w:t>
      </w:r>
      <w:r>
        <w:rPr>
          <w:b w:val="0"/>
          <w:i w:val="0"/>
        </w:rPr>
        <w:t xml:space="preserve"> automotive macro.</w:t>
      </w:r>
    </w:p>
    <w:p>
      <w:pPr>
        <w:pStyle w:val="ListBullet"/>
      </w:pPr>
      <w:r>
        <w:rPr>
          <w:b w:val="0"/>
          <w:i w:val="0"/>
        </w:rPr>
        <w:t>Revision of CAD DRC/LVS rule decks to flag any IO clamp width under 280 µm as a fatal sign-off violation.</w:t>
      </w:r>
    </w:p>
    <w:p>
      <w:pPr>
        <w:pStyle w:val="ListBullet"/>
      </w:pPr>
      <w:r>
        <w:rPr>
          <w:b w:val="0"/>
          <w:i w:val="0"/>
        </w:rPr>
        <w:t>Full quarantine of existing Rev A packaged inventory.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Destructive Physical Analysis of 3 Unit Failures during AEC-Q100 500-Hour HTOL Readout</dc:title>
  <dc:subject>Destructive Physical Analysis of 3 Unit Failures during AEC-Q100 500-Hour HTOL Readout</dc:subject>
  <dc:creator>Rosa Santos</dc:creator>
  <cp:keywords>FastChip Semiconductor</cp:keywords>
  <dc:description>rebuilt-by-rebuild_office_docs</dc:description>
  <cp:lastModifiedBy>Rosa Santos</cp:lastModifiedBy>
  <cp:revision>1</cp:revision>
  <dcterms:created xsi:type="dcterms:W3CDTF">2026-03-12T00:00:00Z</dcterms:created>
  <dcterms:modified xsi:type="dcterms:W3CDTF">2026-03-12T00:00:00Z</dcterms:modified>
  <cp:category/>
</cp:coreProperties>
</file>