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Модель конкуренции двух фирм</w:t>
      </w:r>
    </w:p>
    <w:p>
      <w:pPr>
        <w:pStyle w:val="Author"/>
      </w:pPr>
      <w:r>
        <w:t xml:space="preserve">Чувакина Мария Владимировна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Рассмотрим модель конкуренции двух фирм, производящих взаимозаменяемые</w:t>
      </w:r>
      <w:r>
        <w:t xml:space="preserve"> </w:t>
      </w:r>
      <w:r>
        <w:t xml:space="preserve">товары одинакового качества и находящихся в одной рыночной нише.</w:t>
      </w:r>
      <w:r>
        <w:t xml:space="preserve"> </w:t>
      </w:r>
      <w:r>
        <w:t xml:space="preserve">Модель описывает динамику изменения оборотных средств фирм во времени.</w:t>
      </w:r>
    </w:p>
    <w:p>
      <w:pPr>
        <w:pStyle w:val="BodyText"/>
      </w:pPr>
      <w:r>
        <w:t xml:space="preserve">Математическая модель описывается системой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оборотные средства фирм 1 и 2;</w:t>
      </w:r>
      <w:r>
        <w:t xml:space="preserve"> </w:t>
      </w:r>
      <w:r>
        <w:t xml:space="preserve">-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безразмерное время;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коэффициенты, зависящие от параметров производства.</w:t>
      </w:r>
    </w:p>
    <w:bookmarkEnd w:id="9"/>
    <w:bookmarkStart w:id="10" w:name="мой-вариант"/>
    <w:p>
      <w:pPr>
        <w:pStyle w:val="Heading1"/>
      </w:pPr>
      <w:r>
        <w:t xml:space="preserve">Мой вариант</w:t>
      </w:r>
    </w:p>
    <w:p>
      <w:pPr>
        <w:pStyle w:val="FirstParagraph"/>
      </w:pPr>
      <w:r>
        <w:rPr>
          <w:b/>
          <w:bCs/>
        </w:rPr>
        <w:t xml:space="preserve">Номер варианта: 56</w:t>
      </w:r>
    </w:p>
    <w:p>
      <w:pPr>
        <w:pStyle w:val="BodyText"/>
      </w:pPr>
      <w:r>
        <w:rPr>
          <w:b/>
          <w:bCs/>
        </w:rPr>
        <w:t xml:space="preserve">Параметры модели: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M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Начальные оборотные средства фирмы 1 (млн. ед.)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M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Начальные оборотные средства фирмы 2 (млн. ед.)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Критическая стоимость продукта (тыс. ед.)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Число потребителей (тыс. ед.)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Максимальная потребность одного человека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Длительность цикла фирмы 1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Длительность цикла фирмы 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Себестоимость фирмы 1 (тыс. ед.)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Себестоимость фирмы 2 (тыс. ед.)</w:t>
            </w:r>
          </w:p>
        </w:tc>
      </w:tr>
    </w:tbl>
    <w:bookmarkEnd w:id="10"/>
    <w:bookmarkStart w:id="14" w:name="теоретический-анализ"/>
    <w:p>
      <w:pPr>
        <w:pStyle w:val="Heading1"/>
      </w:pPr>
      <w:r>
        <w:t xml:space="preserve">Теоретический анализ</w:t>
      </w:r>
    </w:p>
    <w:bookmarkStart w:id="11" w:name="коэффициенты-модели"/>
    <w:p>
      <w:pPr>
        <w:pStyle w:val="Heading2"/>
      </w:pPr>
      <w:r>
        <w:t xml:space="preserve">Коэффициенты модели</w:t>
      </w:r>
    </w:p>
    <w:p>
      <w:pPr>
        <w:pStyle w:val="FirstParagraph"/>
      </w:pPr>
      <w:r>
        <w:t xml:space="preserve">Коэффициенты определяются по формулам: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</m:oMath>
      </m:oMathPara>
    </w:p>
    <w:bookmarkEnd w:id="11"/>
    <w:bookmarkStart w:id="12" w:name="Xc97f3c59240feb6977733b6bd2bf892fe041338"/>
    <w:p>
      <w:pPr>
        <w:pStyle w:val="Heading2"/>
      </w:pPr>
      <w:r>
        <w:t xml:space="preserve">Случай 1: Только рыночные методы конкуренции</w:t>
      </w:r>
    </w:p>
    <w:p>
      <w:pPr>
        <w:pStyle w:val="FirstParagraph"/>
      </w:pPr>
      <w:r>
        <w:t xml:space="preserve">Фирмы влияют друг на друга только через изменение параметров производства</w:t>
      </w:r>
      <w:r>
        <w:t xml:space="preserve"> </w:t>
      </w:r>
      <w:r>
        <w:t xml:space="preserve">(себестоимость, время цикла). Система имеет вид: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d</m:t>
                  </m:r>
                  <m:r>
                    <m:t>θ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Sup>
                <m:e>
                  <m:r>
                    <m:t>M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d</m:t>
                  </m:r>
                  <m:r>
                    <m:t>θ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Sup>
                <m:e>
                  <m:r>
                    <m:t>M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bookmarkEnd w:id="12"/>
    <w:bookmarkStart w:id="13" w:name="X67d45493b97a857c3ef6082e864966ee79f9ef9"/>
    <w:p>
      <w:pPr>
        <w:pStyle w:val="Heading2"/>
      </w:pPr>
      <w:r>
        <w:t xml:space="preserve">Случай 2: С учётом социально-психологических факторов</w:t>
      </w:r>
    </w:p>
    <w:p>
      <w:pPr>
        <w:pStyle w:val="FirstParagraph"/>
      </w:pPr>
      <w:r>
        <w:t xml:space="preserve">Добавляется формирование общественного предпочтения одного товара другому.</w:t>
      </w:r>
      <w:r>
        <w:t xml:space="preserve"> </w:t>
      </w:r>
      <w:r>
        <w:t xml:space="preserve">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увеличивается на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0.00046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</m:e>
          </m:d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bookmarkEnd w:id="13"/>
    <w:bookmarkEnd w:id="14"/>
    <w:bookmarkStart w:id="31" w:name="подготовка-рабочего-пространства"/>
    <w:p>
      <w:pPr>
        <w:pStyle w:val="Heading1"/>
      </w:pPr>
      <w:r>
        <w:t xml:space="preserve">Подготовка рабочего пространства</w:t>
      </w:r>
    </w:p>
    <w:p>
      <w:pPr>
        <w:pStyle w:val="Compact"/>
        <w:numPr>
          <w:ilvl w:val="0"/>
          <w:numId w:val="1001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mathmod/labs/lab08</w:t>
      </w:r>
    </w:p>
    <w:bookmarkStart w:id="18" w:name="fig:001"/>
    <w:p>
      <w:pPr>
        <w:pStyle w:val="CaptionedFigure"/>
      </w:pPr>
      <w:r>
        <w:drawing>
          <wp:inline>
            <wp:extent cx="3733800" cy="115516"/>
            <wp:effectExtent b="0" l="0" r="0" t="0"/>
            <wp:docPr descr="Создание каталога" title="" id="16" name="Picture"/>
            <a:graphic>
              <a:graphicData uri="http://schemas.openxmlformats.org/drawingml/2006/picture">
                <pic:pic>
                  <pic:nvPicPr>
                    <pic:cNvPr descr="image/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18"/>
    <w:p>
      <w:pPr>
        <w:pStyle w:val="Compact"/>
        <w:numPr>
          <w:ilvl w:val="0"/>
          <w:numId w:val="1002"/>
        </w:numPr>
      </w:pPr>
      <w:r>
        <w:t xml:space="preserve">Создан проект DrWatson и установлены пакеты: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LaTeXStrings.jl</w:t>
      </w:r>
    </w:p>
    <w:bookmarkStart w:id="22" w:name="fig:002"/>
    <w:p>
      <w:pPr>
        <w:pStyle w:val="CaptionedFigure"/>
      </w:pPr>
      <w:r>
        <w:drawing>
          <wp:inline>
            <wp:extent cx="3733800" cy="1295848"/>
            <wp:effectExtent b="0" l="0" r="0" t="0"/>
            <wp:docPr descr="Создание проекта" title="" id="20" name="Picture"/>
            <a:graphic>
              <a:graphicData uri="http://schemas.openxmlformats.org/drawingml/2006/picture">
                <pic:pic>
                  <pic:nvPicPr>
                    <pic:cNvPr descr="image/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5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проекта</w:t>
      </w:r>
    </w:p>
    <w:bookmarkEnd w:id="22"/>
    <w:bookmarkStart w:id="26" w:name="fig:003"/>
    <w:p>
      <w:pPr>
        <w:pStyle w:val="CaptionedFigure"/>
      </w:pPr>
      <w:r>
        <w:drawing>
          <wp:inline>
            <wp:extent cx="3733800" cy="1318942"/>
            <wp:effectExtent b="0" l="0" r="0" t="0"/>
            <wp:docPr descr="Установка пакетов" title="" id="24" name="Picture"/>
            <a:graphic>
              <a:graphicData uri="http://schemas.openxmlformats.org/drawingml/2006/picture">
                <pic:pic>
                  <pic:nvPicPr>
                    <pic:cNvPr descr="image/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8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bookmarkEnd w:id="26"/>
    <w:p>
      <w:pPr>
        <w:pStyle w:val="Compact"/>
        <w:numPr>
          <w:ilvl w:val="0"/>
          <w:numId w:val="1003"/>
        </w:numPr>
      </w:pPr>
      <w:r>
        <w:t xml:space="preserve">Созданы скрипты для моделирования: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competition_run.jl</w:t>
      </w:r>
      <w:r>
        <w:t xml:space="preserve"> </w:t>
      </w:r>
      <w:r>
        <w:t xml:space="preserve">— основной скрипт;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competition_literate.jl</w:t>
      </w:r>
      <w:r>
        <w:t xml:space="preserve"> </w:t>
      </w:r>
      <w:r>
        <w:t xml:space="preserve">— литературная версия.</w:t>
      </w:r>
    </w:p>
    <w:bookmarkStart w:id="30" w:name="fig:004"/>
    <w:p>
      <w:pPr>
        <w:pStyle w:val="CaptionedFigure"/>
      </w:pPr>
      <w:r>
        <w:drawing>
          <wp:inline>
            <wp:extent cx="3733800" cy="603779"/>
            <wp:effectExtent b="0" l="0" r="0" t="0"/>
            <wp:docPr descr="Создание скриптов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3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скриптов</w:t>
      </w:r>
    </w:p>
    <w:bookmarkEnd w:id="30"/>
    <w:bookmarkEnd w:id="31"/>
    <w:bookmarkStart w:id="36" w:name="результаты-моделирования"/>
    <w:p>
      <w:pPr>
        <w:pStyle w:val="Heading1"/>
      </w:pPr>
      <w:r>
        <w:t xml:space="preserve">Результаты моделирования</w:t>
      </w:r>
    </w:p>
    <w:bookmarkStart w:id="32" w:name="расчёт-коэффициентов"/>
    <w:p>
      <w:pPr>
        <w:pStyle w:val="Heading2"/>
      </w:pPr>
      <w:r>
        <w:t xml:space="preserve">Расчёт коэффициентов</w:t>
      </w:r>
    </w:p>
    <w:p>
      <w:pPr>
        <w:pStyle w:val="FirstParagraph"/>
      </w:pPr>
      <w:r>
        <w:t xml:space="preserve">Подставляя значения параметров, получаем: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Коэффициент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1.122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1.082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1.214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0.13333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0.12364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0.9273</m:t>
              </m:r>
            </m:oMath>
          </w:p>
        </w:tc>
      </w:tr>
    </w:tbl>
    <w:bookmarkEnd w:id="32"/>
    <w:bookmarkStart w:id="33" w:name="Xf07d6ef3c1601029ddf3012652c2b0dbad2470d"/>
    <w:p>
      <w:pPr>
        <w:pStyle w:val="Heading2"/>
      </w:pPr>
      <w:r>
        <w:t xml:space="preserve">Случай 1: Только рыночные методы конкуренции</w:t>
      </w:r>
    </w:p>
    <w:p>
      <w:pPr>
        <w:pStyle w:val="FirstParagraph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 Обе фирмы демонстрируют S-образный рост оборотных средств</w:t>
      </w:r>
      <w:r>
        <w:t xml:space="preserve"> </w:t>
      </w:r>
      <w:r>
        <w:t xml:space="preserve">- Фирма 2 (начальные средства 9.5 млн. ед.) достигает более высокого</w:t>
      </w:r>
      <w:r>
        <w:t xml:space="preserve"> </w:t>
      </w:r>
      <w:r>
        <w:t xml:space="preserve">стационарного уровня, чем фирма 1 (7.5 млн. ед.)</w:t>
      </w:r>
      <w:r>
        <w:t xml:space="preserve"> </w:t>
      </w:r>
      <w:r>
        <w:t xml:space="preserve">- Динамика носит плавный характер без резких колебаний</w:t>
      </w:r>
      <w:r>
        <w:t xml:space="preserve"> </w:t>
      </w:r>
      <w:r>
        <w:t xml:space="preserve">- Стационарное состояние достигается к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30</m:t>
        </m:r>
      </m:oMath>
    </w:p>
    <w:bookmarkEnd w:id="33"/>
    <w:bookmarkStart w:id="34" w:name="X75cfbcf1c0f1bd94780435945e4fe56500211c0"/>
    <w:p>
      <w:pPr>
        <w:pStyle w:val="Heading2"/>
      </w:pPr>
      <w:r>
        <w:t xml:space="preserve">Случай 2: С учётом социально-психологических факторов</w:t>
      </w:r>
    </w:p>
    <w:p>
      <w:pPr>
        <w:pStyle w:val="FirstParagraph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 Добавление социально-психологических факторов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0.00046</m:t>
        </m:r>
      </m:oMath>
      <w:r>
        <w:t xml:space="preserve">)</w:t>
      </w:r>
      <w:r>
        <w:t xml:space="preserve"> </w:t>
      </w:r>
      <w:r>
        <w:t xml:space="preserve">изменяет характер конкуренции</w:t>
      </w:r>
      <w:r>
        <w:t xml:space="preserve"> </w:t>
      </w:r>
      <w:r>
        <w:t xml:space="preserve">- Увеличение коэффициента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усиливает влияние одной фирмы на другую</w:t>
      </w:r>
      <w:r>
        <w:t xml:space="preserve"> </w:t>
      </w:r>
      <w:r>
        <w:t xml:space="preserve">- Наблюдается более выраженное преимущество фирмы 2</w:t>
      </w:r>
      <w:r>
        <w:t xml:space="preserve"> </w:t>
      </w:r>
      <w:r>
        <w:t xml:space="preserve">- Стационарное состояние достигается быстрее (</w:t>
      </w:r>
      <m:oMath>
        <m:r>
          <m:t>θ</m:t>
        </m:r>
        <m:r>
          <m:rPr>
            <m:sty m:val="p"/>
          </m:rPr>
          <m:t>≈</m:t>
        </m:r>
        <m:r>
          <m:t>25</m:t>
        </m:r>
      </m:oMath>
      <w:r>
        <w:t xml:space="preserve">)</w:t>
      </w:r>
    </w:p>
    <w:bookmarkEnd w:id="34"/>
    <w:bookmarkStart w:id="35" w:name="сравнительный-анализ"/>
    <w:p>
      <w:pPr>
        <w:pStyle w:val="Heading2"/>
      </w:pPr>
      <w:r>
        <w:t xml:space="preserve">Сравнительный анализ</w:t>
      </w:r>
    </w:p>
    <w:p>
      <w:pPr>
        <w:pStyle w:val="FirstParagraph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 Сплошные линии — случай 1 (только рыночные методы)</w:t>
      </w:r>
      <w:r>
        <w:t xml:space="preserve"> </w:t>
      </w:r>
      <w:r>
        <w:t xml:space="preserve">- Пунктирные линии — случай 2 (с учётом соц.-псих. факторов)</w:t>
      </w:r>
      <w:r>
        <w:t xml:space="preserve"> </w:t>
      </w:r>
      <w:r>
        <w:t xml:space="preserve">- Во втором случае наблюдается более резкий перегиб кривых</w:t>
      </w:r>
      <w:r>
        <w:t xml:space="preserve"> </w:t>
      </w:r>
      <w:r>
        <w:t xml:space="preserve">- Социально-психологические факторы усиливают конкурентную борьбу</w:t>
      </w:r>
    </w:p>
    <w:bookmarkEnd w:id="35"/>
    <w:bookmarkEnd w:id="36"/>
    <w:bookmarkStart w:id="40" w:name="анализ-результатов"/>
    <w:p>
      <w:pPr>
        <w:pStyle w:val="Heading1"/>
      </w:pPr>
      <w:r>
        <w:t xml:space="preserve">Анализ результатов</w:t>
      </w:r>
    </w:p>
    <w:bookmarkStart w:id="37" w:name="сравнительный-анализ-случаев"/>
    <w:p>
      <w:pPr>
        <w:pStyle w:val="Heading2"/>
      </w:pPr>
      <w:r>
        <w:t xml:space="preserve">Сравнительный анализ случаев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Случай 1</w:t>
            </w:r>
          </w:p>
        </w:tc>
        <w:tc>
          <w:tcPr/>
          <w:p>
            <w:pPr>
              <w:pStyle w:val="Compact"/>
            </w:pPr>
            <w:r>
              <w:t xml:space="preserve">Случай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Характер роста</w:t>
            </w:r>
          </w:p>
        </w:tc>
        <w:tc>
          <w:tcPr/>
          <w:p>
            <w:pPr>
              <w:pStyle w:val="Compact"/>
            </w:pPr>
            <w:r>
              <w:t xml:space="preserve">Плавный, S-образный</w:t>
            </w:r>
          </w:p>
        </w:tc>
        <w:tc>
          <w:tcPr/>
          <w:p>
            <w:pPr>
              <w:pStyle w:val="Compact"/>
            </w:pPr>
            <w:r>
              <w:t xml:space="preserve">Более резкий перегиб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Стационарный уровень фирмы 1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8.5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7.8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Стационарный уровень фирмы 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10.2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10.5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Время достижения стационарного состояния</w:t>
            </w:r>
          </w:p>
        </w:tc>
        <w:tc>
          <w:tcPr/>
          <w:p>
            <w:pPr>
              <w:pStyle w:val="Compact"/>
            </w:pPr>
            <m:oMath>
              <m:r>
                <m:t>θ</m:t>
              </m:r>
              <m:r>
                <m:rPr>
                  <m:sty m:val="p"/>
                </m:rPr>
                <m:t>≈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θ</m:t>
              </m:r>
              <m:r>
                <m:rPr>
                  <m:sty m:val="p"/>
                </m:rPr>
                <m:t>≈</m:t>
              </m:r>
              <m:r>
                <m:t>25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Преимущество</w:t>
            </w:r>
          </w:p>
        </w:tc>
        <w:tc>
          <w:tcPr/>
          <w:p>
            <w:pPr>
              <w:pStyle w:val="Compact"/>
            </w:pPr>
            <w:r>
              <w:t xml:space="preserve">Фирма 2</w:t>
            </w:r>
          </w:p>
        </w:tc>
        <w:tc>
          <w:tcPr/>
          <w:p>
            <w:pPr>
              <w:pStyle w:val="Compact"/>
            </w:pPr>
            <w:r>
              <w:t xml:space="preserve">Фирма 2 (усилено)</w:t>
            </w:r>
          </w:p>
        </w:tc>
      </w:tr>
    </w:tbl>
    <w:bookmarkEnd w:id="37"/>
    <w:bookmarkStart w:id="38" w:name="стационарные-точки"/>
    <w:p>
      <w:pPr>
        <w:pStyle w:val="Heading2"/>
      </w:pPr>
      <w:r>
        <w:t xml:space="preserve">Стационарные точки</w:t>
      </w:r>
    </w:p>
    <w:p>
      <w:pPr>
        <w:pStyle w:val="FirstParagraph"/>
      </w:pPr>
      <w:r>
        <w:t xml:space="preserve">Стационарные точки находятся из системы</w:t>
      </w:r>
      <w:r>
        <w:t xml:space="preserve"> </w:t>
      </w:r>
      <m:oMath>
        <m:r>
          <m:t>d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d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параметров варианта №56 ненулевое решение (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 существует</w:t>
      </w:r>
      <w:r>
        <w:t xml:space="preserve"> </w:t>
      </w:r>
      <w:r>
        <w:t xml:space="preserve">и находится в области положительных значений, что соответствует устойчивому</w:t>
      </w:r>
      <w:r>
        <w:t xml:space="preserve"> </w:t>
      </w:r>
      <w:r>
        <w:t xml:space="preserve">функционированию обеих фирм.</w:t>
      </w:r>
    </w:p>
    <w:bookmarkEnd w:id="38"/>
    <w:bookmarkStart w:id="39" w:name="X6df261922a7374b8beae6aec13e9a765ecb2456"/>
    <w:p>
      <w:pPr>
        <w:pStyle w:val="Heading2"/>
      </w:pPr>
      <w:r>
        <w:t xml:space="preserve">Поведение модели при различных соотношениях коэффициентов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Соотношение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Чисто рыночная конкуренция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Усиление конкурентной борьбы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велико</w:t>
            </w:r>
          </w:p>
        </w:tc>
        <w:tc>
          <w:tcPr/>
          <w:p>
            <w:pPr>
              <w:pStyle w:val="Compact"/>
            </w:pPr>
            <w:r>
              <w:t xml:space="preserve">Возможно вытеснение одной фирмы</w:t>
            </w:r>
          </w:p>
        </w:tc>
      </w:tr>
    </w:tbl>
    <w:bookmarkEnd w:id="39"/>
    <w:bookmarkEnd w:id="40"/>
    <w:bookmarkStart w:id="4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Реализована математическая модель конкуренции двух фирм</w:t>
      </w:r>
      <w:r>
        <w:t xml:space="preserve"> </w:t>
      </w:r>
      <w:r>
        <w:t xml:space="preserve">для варианта №56 с параметрами:</w:t>
      </w:r>
    </w:p>
    <w:p>
      <w:pPr>
        <w:pStyle w:val="Compact"/>
        <w:numPr>
          <w:ilvl w:val="1"/>
          <w:numId w:val="1006"/>
        </w:numPr>
      </w:pP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45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55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1"/>
          <w:numId w:val="1006"/>
        </w:numPr>
      </w:pPr>
      <m:oMath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;</w:t>
      </w:r>
    </w:p>
    <w:p>
      <w:pPr>
        <w:pStyle w:val="Compact"/>
        <w:numPr>
          <w:ilvl w:val="1"/>
          <w:numId w:val="1006"/>
        </w:numPr>
      </w:pP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;</w:t>
      </w:r>
    </w:p>
    <w:p>
      <w:pPr>
        <w:pStyle w:val="Compact"/>
        <w:numPr>
          <w:ilvl w:val="1"/>
          <w:numId w:val="1006"/>
        </w:numPr>
      </w:pPr>
      <m:oMath>
        <m:sSubSup>
          <m:e>
            <m:r>
              <m:t>M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7.5</m:t>
        </m:r>
      </m:oMath>
      <w:r>
        <w:t xml:space="preserve">,</w:t>
      </w:r>
      <w:r>
        <w:t xml:space="preserve"> </w:t>
      </w:r>
      <m:oMath>
        <m:sSubSup>
          <m:e>
            <m:r>
              <m:t>M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9.5</m:t>
        </m:r>
      </m:oMath>
      <w:r>
        <w:t xml:space="preserve"> </w:t>
      </w:r>
      <w:r>
        <w:t xml:space="preserve">млн. ед.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Рассмотрены два случая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Только рыночные методы конкуренции;</w:t>
      </w:r>
    </w:p>
    <w:p>
      <w:pPr>
        <w:pStyle w:val="Compact"/>
        <w:numPr>
          <w:ilvl w:val="1"/>
          <w:numId w:val="1007"/>
        </w:numPr>
      </w:pPr>
      <w:r>
        <w:t xml:space="preserve">С учётом социально-психологических факторов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0.00046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Получены графики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Динамики оборотных средств для обоих случаев;</w:t>
      </w:r>
    </w:p>
    <w:p>
      <w:pPr>
        <w:pStyle w:val="Compact"/>
        <w:numPr>
          <w:ilvl w:val="1"/>
          <w:numId w:val="1008"/>
        </w:numPr>
      </w:pPr>
      <w:r>
        <w:t xml:space="preserve">Сравнительный анализ эффективности.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Проведён анализ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Определены стационарные точки системы;</w:t>
      </w:r>
    </w:p>
    <w:p>
      <w:pPr>
        <w:pStyle w:val="Compact"/>
        <w:numPr>
          <w:ilvl w:val="1"/>
          <w:numId w:val="1009"/>
        </w:numPr>
      </w:pPr>
      <w:r>
        <w:t xml:space="preserve">Показано влияние социально-психологических факторов на динамику</w:t>
      </w:r>
      <w:r>
        <w:t xml:space="preserve"> </w:t>
      </w:r>
      <w:r>
        <w:t xml:space="preserve">конкурентной борьбы;</w:t>
      </w:r>
    </w:p>
    <w:p>
      <w:pPr>
        <w:pStyle w:val="Compact"/>
        <w:numPr>
          <w:ilvl w:val="1"/>
          <w:numId w:val="1009"/>
        </w:numPr>
      </w:pPr>
      <w:r>
        <w:t xml:space="preserve">Установлено, что увеличение коэффициента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усиливает</w:t>
      </w:r>
      <w:r>
        <w:t xml:space="preserve"> </w:t>
      </w:r>
      <w:r>
        <w:t xml:space="preserve">преимущество фирмы с большими начальными оборотными средствами.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Освоены методы</w:t>
      </w:r>
      <w:r>
        <w:t xml:space="preserve"> </w:t>
      </w:r>
      <w:r>
        <w:t xml:space="preserve">численного решения систем дифференциальных уравнений</w:t>
      </w:r>
      <w:r>
        <w:t xml:space="preserve"> </w:t>
      </w:r>
      <w:r>
        <w:t xml:space="preserve">в Julia с использованием пакета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Созданы литературные скрипты</w:t>
      </w:r>
      <w:r>
        <w:t xml:space="preserve"> </w:t>
      </w:r>
      <w:r>
        <w:t xml:space="preserve">и сгенерированы производные форматы</w:t>
      </w:r>
      <w:r>
        <w:t xml:space="preserve"> </w:t>
      </w:r>
      <w:r>
        <w:t xml:space="preserve">(Jupyter notebook, Quarto, чистый код).</w:t>
      </w:r>
    </w:p>
    <w:bookmarkEnd w:id="41"/>
    <w:bookmarkStart w:id="42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10"/>
        </w:numPr>
      </w:pPr>
      <w:r>
        <w:t xml:space="preserve">Королькова А.В., Кулябов Д.С. Имитационное моделирование. Практикум. — М.: РУДН, 2025. — 148 с.</w:t>
      </w:r>
    </w:p>
    <w:p>
      <w:pPr>
        <w:numPr>
          <w:ilvl w:val="0"/>
          <w:numId w:val="1010"/>
        </w:numPr>
      </w:pPr>
      <w:r>
        <w:t xml:space="preserve">Документация DifferentialEquations.jl: https://diffeq.sciml.ai/stable/</w:t>
      </w:r>
    </w:p>
    <w:p>
      <w:pPr>
        <w:numPr>
          <w:ilvl w:val="0"/>
          <w:numId w:val="1010"/>
        </w:numPr>
      </w:pPr>
      <w:r>
        <w:t xml:space="preserve">Документация Plots.jl: https://docs.juliaplots.org/</w:t>
      </w:r>
    </w:p>
    <w:p>
      <w:pPr>
        <w:numPr>
          <w:ilvl w:val="0"/>
          <w:numId w:val="1010"/>
        </w:numPr>
      </w:pPr>
      <w:r>
        <w:t xml:space="preserve">Документация DrWatson.jl: https://juliadynamics.github.io/DrWatson.jl/stable/</w:t>
      </w:r>
    </w:p>
    <w:p>
      <w:pPr>
        <w:numPr>
          <w:ilvl w:val="0"/>
          <w:numId w:val="1010"/>
        </w:numPr>
      </w:pPr>
      <w:r>
        <w:t xml:space="preserve">Документация Literate.jl: https://fredrikekre.github.io/Literate.jl/stable/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Чувакина Мария Владимировна</dc:creator>
  <dc:language>ru-RU</dc:language>
  <cp:keywords/>
  <dcterms:created xsi:type="dcterms:W3CDTF">2026-05-20T11:39:16Z</dcterms:created>
  <dcterms:modified xsi:type="dcterms:W3CDTF">2026-05-20T11:39:16Z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ocumentclass">
    <vt:lpwstr>scrreprt</vt:lpwstr>
  </property>
  <property fmtid="{D5CDD505-2E9C-101B-9397-08002B2CF9AE}" pid="4" name="fontsize">
    <vt:lpwstr>12pt</vt:lpwstr>
  </property>
  <property fmtid="{D5CDD505-2E9C-101B-9397-08002B2CF9AE}" pid="5" name="format">
    <vt:lpwstr/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DejaVu Serif</vt:lpwstr>
  </property>
  <property fmtid="{D5CDD505-2E9C-101B-9397-08002B2CF9AE}" pid="10" name="math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Модель конкуренции двух фирм</vt:lpwstr>
  </property>
  <property fmtid="{D5CDD505-2E9C-101B-9397-08002B2CF9AE}" pid="15" name="toc">
    <vt:lpwstr>True</vt:lpwstr>
  </property>
  <property fmtid="{D5CDD505-2E9C-101B-9397-08002B2CF9AE}" pid="16" name="toc-depth">
    <vt:lpwstr>2</vt:lpwstr>
  </property>
  <property fmtid="{D5CDD505-2E9C-101B-9397-08002B2CF9AE}" pid="17" name="toc-title">
    <vt:lpwstr>Содержание</vt:lpwstr>
  </property>
</Properties>
</file>