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гармонического осциллятора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модель гармонического осциллятора, исследовать три режима колебаний (без затухания, с затуханием, вынужденные колебания), освоить методы решения дифференциальных уравнений в Julia и параметрический анализ.</w:t>
      </w:r>
    </w:p>
    <w:p>
      <w:r>
        <w:pict>
          <v:rect style="width:0;height:1.5pt" o:hralign="center" o:hrstd="t" o:hr="t"/>
        </w:pict>
      </w:r>
    </w:p>
    <w:bookmarkEnd w:id="20"/>
    <w:bookmarkStart w:id="44" w:name="этапы-выполнения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Этапы выполнения</w:t>
      </w:r>
    </w:p>
    <w:bookmarkStart w:id="29" w:name="подготовка-рабочего-пространства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t xml:space="preserve">2.1. Подготовка рабочего пространства</w:t>
      </w:r>
    </w:p>
    <w:p>
      <w:pPr>
        <w:pStyle w:val="Compact"/>
        <w:numPr>
          <w:ilvl w:val="0"/>
          <w:numId w:val="1001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labs/lab03</w:t>
      </w:r>
    </w:p>
    <w:p>
      <w:pPr>
        <w:pStyle w:val="Compact"/>
        <w:numPr>
          <w:ilvl w:val="0"/>
          <w:numId w:val="1001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labs/lab03/project</w:t>
      </w:r>
    </w:p>
    <w:bookmarkStart w:id="24" w:name="fig:001"/>
    <w:p>
      <w:pPr>
        <w:pStyle w:val="CaptionedFigure"/>
      </w:pPr>
      <w:r>
        <w:drawing>
          <wp:inline>
            <wp:extent cx="3733800" cy="1943346"/>
            <wp:effectExtent b="0" l="0" r="0" t="0"/>
            <wp:docPr descr="Рис. 1: Созданный каталог и проект DrWatson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Созданный каталог и проект DrWatson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Установлены пакеты: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</w:p>
    <w:bookmarkStart w:id="28" w:name="fig:002"/>
    <w:p>
      <w:pPr>
        <w:pStyle w:val="CaptionedFigure"/>
      </w:pPr>
      <w:r>
        <w:drawing>
          <wp:inline>
            <wp:extent cx="3733800" cy="1658257"/>
            <wp:effectExtent b="0" l="0" r="0" t="0"/>
            <wp:docPr descr="Рис. 2: Установка необходимых паке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необходимых пакетов</w:t>
      </w:r>
    </w:p>
    <w:bookmarkEnd w:id="28"/>
    <w:bookmarkEnd w:id="29"/>
    <w:bookmarkStart w:id="34" w:name="реализация-модели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t xml:space="preserve">2.2. Реализация модели</w:t>
      </w:r>
    </w:p>
    <w:p>
      <w:pPr>
        <w:pStyle w:val="FirstParagraph"/>
      </w:pPr>
      <w:r>
        <w:t xml:space="preserve">Созданы следующие скрипты:</w:t>
      </w:r>
    </w:p>
    <w:bookmarkStart w:id="33" w:name="fig:003"/>
    <w:p>
      <w:pPr>
        <w:pStyle w:val="CaptionedFigure"/>
      </w:pPr>
      <w:r>
        <w:drawing>
          <wp:inline>
            <wp:extent cx="3733800" cy="455700"/>
            <wp:effectExtent b="0" l="0" r="0" t="0"/>
            <wp:docPr descr="Рис. 3: Создание скрипт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скриптов</w:t>
      </w:r>
    </w:p>
    <w:bookmarkEnd w:id="33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harmonic_oscillator.jl</w:t>
            </w:r>
          </w:p>
        </w:tc>
        <w:tc>
          <w:tcPr/>
          <w:p>
            <w:pPr>
              <w:pStyle w:val="Compact"/>
            </w:pPr>
            <w:r>
              <w:t xml:space="preserve">Базовый скрипт для трёх случаев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harmonic_oscillator_literate.jl</w:t>
            </w:r>
          </w:p>
        </w:tc>
        <w:tc>
          <w:tcPr/>
          <w:p>
            <w:pPr>
              <w:pStyle w:val="Compact"/>
            </w:pPr>
            <w:r>
              <w:t xml:space="preserve">Литературная версия с комментариями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harmonic_parametric.jl</w:t>
            </w:r>
          </w:p>
        </w:tc>
        <w:tc>
          <w:tcPr/>
          <w:p>
            <w:pPr>
              <w:pStyle w:val="Compact"/>
            </w:pPr>
            <w:r>
              <w:t xml:space="preserve">Параметрическое исследование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harmonic_parametric_literate.jl</w:t>
            </w:r>
          </w:p>
        </w:tc>
        <w:tc>
          <w:tcPr/>
          <w:p>
            <w:pPr>
              <w:pStyle w:val="Compact"/>
            </w:pPr>
            <w:r>
              <w:t xml:space="preserve">Литературная версия параметрического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tangle.jl</w:t>
            </w:r>
          </w:p>
        </w:tc>
        <w:tc>
          <w:tcPr/>
          <w:p>
            <w:pPr>
              <w:pStyle w:val="Compact"/>
            </w:pPr>
            <w:r>
              <w:t xml:space="preserve">Генератор производных форматов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test_setup.jl</w:t>
            </w:r>
          </w:p>
        </w:tc>
        <w:tc>
          <w:tcPr/>
          <w:p>
            <w:pPr>
              <w:pStyle w:val="Compact"/>
            </w:pPr>
            <w:r>
              <w:t xml:space="preserve">Проверка установки пакетов</w:t>
            </w:r>
          </w:p>
        </w:tc>
      </w:tr>
    </w:tbl>
    <w:bookmarkEnd w:id="34"/>
    <w:bookmarkStart w:id="35" w:name="параметры-варианта-56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t xml:space="preserve">2.3. Параметры варианта №56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15"/>
        <w:gridCol w:w="313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Случай</w:t>
            </w:r>
          </w:p>
        </w:tc>
        <w:tc>
          <w:tcPr/>
          <w:p>
            <w:pPr>
              <w:pStyle w:val="Compact"/>
            </w:pPr>
            <w:r>
              <w:t xml:space="preserve">Уравнение</w:t>
            </w:r>
          </w:p>
        </w:tc>
        <w:tc>
          <w:tcPr/>
          <w:p>
            <w:pPr>
              <w:pStyle w:val="Compact"/>
            </w:pPr>
            <w:r>
              <w:t xml:space="preserve">Начальные условия</w:t>
            </w:r>
          </w:p>
        </w:tc>
        <w:tc>
          <w:tcPr/>
          <w:p>
            <w:pPr>
              <w:pStyle w:val="Compact"/>
            </w:pPr>
            <w:r>
              <w:t xml:space="preserve">Интервал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10.5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7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0.4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5.5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</w:tbl>
    <w:bookmarkEnd w:id="35"/>
    <w:bookmarkStart w:id="39" w:name="полученные-результаты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t xml:space="preserve">2.4. Полученные результаты</w:t>
      </w:r>
    </w:p>
    <w:bookmarkStart w:id="36" w:name="случай-1-без-затухания"/>
    <w:p>
      <w:pPr>
        <w:pStyle w:val="Heading4"/>
      </w:pPr>
      <w:r>
        <w:rPr>
          <w:rStyle w:val="SectionNumber"/>
        </w:rPr>
        <w:t xml:space="preserve">0.2.4.1</w:t>
      </w:r>
      <w:r>
        <w:tab/>
      </w:r>
      <w:r>
        <w:t xml:space="preserve">Случай 1 (без затухания)</w:t>
      </w:r>
    </w:p>
    <w:p>
      <w:pPr>
        <w:pStyle w:val="Compact"/>
        <w:numPr>
          <w:ilvl w:val="0"/>
          <w:numId w:val="1003"/>
        </w:numPr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10.5</m:t>
            </m:r>
          </m:e>
        </m:rad>
        <m:r>
          <m:rPr>
            <m:sty m:val="p"/>
          </m:rPr>
          <m:t>≈</m:t>
        </m:r>
        <m:r>
          <m:t>3.24</m:t>
        </m:r>
      </m:oMath>
      <w:r>
        <w:t xml:space="preserve"> </w:t>
      </w:r>
      <w:r>
        <w:t xml:space="preserve">рад/с</w:t>
      </w:r>
    </w:p>
    <w:p>
      <w:pPr>
        <w:pStyle w:val="Compact"/>
        <w:numPr>
          <w:ilvl w:val="0"/>
          <w:numId w:val="1003"/>
        </w:numPr>
      </w:pPr>
      <w:r>
        <w:t xml:space="preserve">Период колебаний: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1.94</m:t>
        </m:r>
      </m:oMath>
      <w:r>
        <w:t xml:space="preserve"> </w:t>
      </w:r>
      <w:r>
        <w:t xml:space="preserve">с</w:t>
      </w:r>
    </w:p>
    <w:p>
      <w:pPr>
        <w:pStyle w:val="Compact"/>
        <w:numPr>
          <w:ilvl w:val="0"/>
          <w:numId w:val="1003"/>
        </w:numPr>
      </w:pPr>
      <w:r>
        <w:t xml:space="preserve">Амплитуда постоянна (консервативная система)</w:t>
      </w:r>
    </w:p>
    <w:bookmarkEnd w:id="36"/>
    <w:bookmarkStart w:id="37" w:name="случай-2-с-затуханием"/>
    <w:p>
      <w:pPr>
        <w:pStyle w:val="Heading4"/>
      </w:pPr>
      <w:r>
        <w:rPr>
          <w:rStyle w:val="SectionNumber"/>
        </w:rPr>
        <w:t xml:space="preserve">0.2.4.2</w:t>
      </w:r>
      <w:r>
        <w:tab/>
      </w:r>
      <w:r>
        <w:t xml:space="preserve">Случай 2 (с затуханием)</w:t>
      </w:r>
    </w:p>
    <w:p>
      <w:pPr>
        <w:pStyle w:val="Compact"/>
        <w:numPr>
          <w:ilvl w:val="0"/>
          <w:numId w:val="1004"/>
        </w:numPr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2.24</m:t>
        </m:r>
      </m:oMath>
      <w:r>
        <w:t xml:space="preserve"> </w:t>
      </w:r>
      <w:r>
        <w:t xml:space="preserve">рад/с</w:t>
      </w:r>
    </w:p>
    <w:p>
      <w:pPr>
        <w:pStyle w:val="Compact"/>
        <w:numPr>
          <w:ilvl w:val="0"/>
          <w:numId w:val="1004"/>
        </w:numPr>
      </w:pPr>
      <w:r>
        <w:t xml:space="preserve">Коэффициент затухания: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3.5</m:t>
        </m:r>
      </m:oMath>
    </w:p>
    <w:p>
      <w:pPr>
        <w:pStyle w:val="Compact"/>
        <w:numPr>
          <w:ilvl w:val="0"/>
          <w:numId w:val="1004"/>
        </w:numPr>
      </w:pPr>
      <w:r>
        <w:t xml:space="preserve">Режим: апериодический (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)</w:t>
      </w:r>
    </w:p>
    <w:bookmarkEnd w:id="37"/>
    <w:bookmarkStart w:id="38" w:name="случай-3-вынужденные-колебания"/>
    <w:p>
      <w:pPr>
        <w:pStyle w:val="Heading4"/>
      </w:pPr>
      <w:r>
        <w:rPr>
          <w:rStyle w:val="SectionNumber"/>
        </w:rPr>
        <w:t xml:space="preserve">0.2.4.3</w:t>
      </w:r>
      <w:r>
        <w:tab/>
      </w:r>
      <w:r>
        <w:t xml:space="preserve">Случай 3 (вынужденные колебания)</w:t>
      </w:r>
    </w:p>
    <w:p>
      <w:pPr>
        <w:pStyle w:val="Compact"/>
        <w:numPr>
          <w:ilvl w:val="0"/>
          <w:numId w:val="1005"/>
        </w:numPr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5.5</m:t>
            </m:r>
          </m:e>
        </m:rad>
        <m:r>
          <m:rPr>
            <m:sty m:val="p"/>
          </m:rPr>
          <m:t>≈</m:t>
        </m:r>
        <m:r>
          <m:t>2.35</m:t>
        </m:r>
      </m:oMath>
      <w:r>
        <w:t xml:space="preserve"> </w:t>
      </w:r>
      <w:r>
        <w:t xml:space="preserve">рад/с</w:t>
      </w:r>
    </w:p>
    <w:p>
      <w:pPr>
        <w:pStyle w:val="Compact"/>
        <w:numPr>
          <w:ilvl w:val="0"/>
          <w:numId w:val="1005"/>
        </w:numPr>
      </w:pPr>
      <w:r>
        <w:t xml:space="preserve">Частота внешней силы: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рад/с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затухания: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</w:p>
    <w:bookmarkEnd w:id="38"/>
    <w:bookmarkEnd w:id="39"/>
    <w:bookmarkStart w:id="40" w:name="параметрическое-исследование"/>
    <w:p>
      <w:pPr>
        <w:pStyle w:val="Heading3"/>
      </w:pPr>
      <w:r>
        <w:rPr>
          <w:rStyle w:val="SectionNumber"/>
        </w:rPr>
        <w:t xml:space="preserve">0.2.5</w:t>
      </w:r>
      <w:r>
        <w:tab/>
      </w:r>
      <w:r>
        <w:t xml:space="preserve">2.5. Параметрическое исследование</w:t>
      </w:r>
    </w:p>
    <w:p>
      <w:pPr>
        <w:pStyle w:val="FirstParagraph"/>
      </w:pPr>
      <w:r>
        <w:t xml:space="preserve">Исследовано влияние:</w:t>
      </w:r>
      <w:r>
        <w:t xml:space="preserve"> </w:t>
      </w:r>
      <w:r>
        <w:t xml:space="preserve">- Коэффициента затухания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5.0</m:t>
            </m:r>
          </m:e>
        </m:d>
      </m:oMath>
      <w:r>
        <w:t xml:space="preserve"> </w:t>
      </w:r>
      <w:r>
        <w:t xml:space="preserve">- Частоты внешней силы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5.0</m:t>
            </m:r>
          </m:e>
        </m:d>
      </m:oMath>
    </w:p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 Максимальная амплитуда достигается при</w:t>
      </w:r>
      <w:r>
        <w:t xml:space="preserve"> </w:t>
      </w:r>
      <m:oMath>
        <m:r>
          <m:t>ω</m:t>
        </m:r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t xml:space="preserve">рад/с (близко к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2.35</m:t>
        </m:r>
      </m:oMath>
      <w:r>
        <w:t xml:space="preserve">)</w:t>
      </w:r>
      <w:r>
        <w:t xml:space="preserve"> </w:t>
      </w:r>
      <w:r>
        <w:t xml:space="preserve">- 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приводит к более быстрому затуханию</w:t>
      </w:r>
      <w:r>
        <w:t xml:space="preserve"> </w:t>
      </w:r>
      <w:r>
        <w:t xml:space="preserve">- Построена 2D-карта зависимости амплитуды 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ω</m:t>
        </m:r>
      </m:oMath>
    </w:p>
    <w:bookmarkEnd w:id="40"/>
    <w:bookmarkStart w:id="41" w:name="литературное-программирование"/>
    <w:p>
      <w:pPr>
        <w:pStyle w:val="Heading3"/>
      </w:pPr>
      <w:r>
        <w:rPr>
          <w:rStyle w:val="SectionNumber"/>
        </w:rPr>
        <w:t xml:space="preserve">0.2.6</w:t>
      </w:r>
      <w:r>
        <w:tab/>
      </w:r>
      <w:r>
        <w:t xml:space="preserve">2.6. Литературное программирование</w:t>
      </w:r>
    </w:p>
    <w:p>
      <w:pPr>
        <w:pStyle w:val="Compact"/>
        <w:numPr>
          <w:ilvl w:val="0"/>
          <w:numId w:val="1006"/>
        </w:numPr>
      </w:pPr>
      <w:r>
        <w:t xml:space="preserve">Созданы литературные версии всех скриптов</w:t>
      </w:r>
    </w:p>
    <w:p>
      <w:pPr>
        <w:pStyle w:val="Compact"/>
        <w:numPr>
          <w:ilvl w:val="0"/>
          <w:numId w:val="1006"/>
        </w:numPr>
      </w:pPr>
      <w:r>
        <w:t xml:space="preserve">Сгенерированы производные форматы через</w:t>
      </w:r>
      <w:r>
        <w:t xml:space="preserve"> </w:t>
      </w:r>
      <w:r>
        <w:rPr>
          <w:rStyle w:val="VerbatimChar"/>
        </w:rPr>
        <w:t xml:space="preserve">tangle.jl</w:t>
      </w:r>
    </w:p>
    <w:p>
      <w:pPr>
        <w:pStyle w:val="Compact"/>
        <w:numPr>
          <w:ilvl w:val="0"/>
          <w:numId w:val="1006"/>
        </w:numPr>
      </w:pPr>
      <w:r>
        <w:t xml:space="preserve">Выполнены Jupyter notebooks</w:t>
      </w:r>
    </w:p>
    <w:bookmarkEnd w:id="41"/>
    <w:bookmarkStart w:id="42" w:name="создание-отчёта"/>
    <w:p>
      <w:pPr>
        <w:pStyle w:val="Heading3"/>
      </w:pPr>
      <w:r>
        <w:rPr>
          <w:rStyle w:val="SectionNumber"/>
        </w:rPr>
        <w:t xml:space="preserve">0.2.7</w:t>
      </w:r>
      <w:r>
        <w:tab/>
      </w:r>
      <w:r>
        <w:t xml:space="preserve">2.7. Создание отчёта</w:t>
      </w:r>
    </w:p>
    <w:p>
      <w:pPr>
        <w:pStyle w:val="Compact"/>
        <w:numPr>
          <w:ilvl w:val="0"/>
          <w:numId w:val="1007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со всеми графиками</w:t>
      </w:r>
    </w:p>
    <w:p>
      <w:pPr>
        <w:pStyle w:val="Compact"/>
        <w:numPr>
          <w:ilvl w:val="0"/>
          <w:numId w:val="1007"/>
        </w:numPr>
      </w:pPr>
      <w:r>
        <w:t xml:space="preserve">Добавлен список литературы (6 источников)</w:t>
      </w:r>
    </w:p>
    <w:p>
      <w:pPr>
        <w:pStyle w:val="Compact"/>
        <w:numPr>
          <w:ilvl w:val="0"/>
          <w:numId w:val="1007"/>
        </w:numPr>
      </w:pPr>
      <w:r>
        <w:t xml:space="preserve">Отчёт скомпилирован в PDF</w:t>
      </w:r>
    </w:p>
    <w:bookmarkEnd w:id="42"/>
    <w:bookmarkStart w:id="43" w:name="отправка-на-gitverse"/>
    <w:p>
      <w:pPr>
        <w:pStyle w:val="Heading3"/>
      </w:pPr>
      <w:r>
        <w:rPr>
          <w:rStyle w:val="SectionNumber"/>
        </w:rPr>
        <w:t xml:space="preserve">0.2.8</w:t>
      </w:r>
      <w:r>
        <w:tab/>
      </w:r>
      <w:r>
        <w:t xml:space="preserve">2.8. Отправка на GitVerse</w:t>
      </w:r>
    </w:p>
    <w:p>
      <w:pPr>
        <w:pStyle w:val="Compact"/>
        <w:numPr>
          <w:ilvl w:val="0"/>
          <w:numId w:val="1008"/>
        </w:numPr>
      </w:pPr>
      <w:r>
        <w:t xml:space="preserve">Код отправлен в репозиторий</w:t>
      </w:r>
    </w:p>
    <w:p>
      <w:pPr>
        <w:pStyle w:val="Compact"/>
        <w:numPr>
          <w:ilvl w:val="0"/>
          <w:numId w:val="1008"/>
        </w:numPr>
      </w:pPr>
      <w:r>
        <w:t xml:space="preserve">Создан релиз</w:t>
      </w:r>
      <w:r>
        <w:t xml:space="preserve"> </w:t>
      </w:r>
      <w:r>
        <w:rPr>
          <w:rStyle w:val="VerbatimChar"/>
        </w:rPr>
        <w:t xml:space="preserve">lab01-v56</w:t>
      </w:r>
      <w:r>
        <w:t xml:space="preserve"> </w:t>
      </w:r>
      <w:r>
        <w:t xml:space="preserve">с отчётом и графиками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выводы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Реализована модель гармонического осциллятора</w:t>
      </w:r>
      <w:r>
        <w:t xml:space="preserve"> </w:t>
      </w:r>
      <w:r>
        <w:t xml:space="preserve">для трёх режимов колебаний.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Получены графики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фазовые портреты для всех случаев.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Проведён анализ</w:t>
      </w:r>
      <w:r>
        <w:t xml:space="preserve"> </w:t>
      </w:r>
      <w:r>
        <w:t xml:space="preserve">динамики системы при различных параметрах.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Освоены методы</w:t>
      </w:r>
      <w:r>
        <w:t xml:space="preserve"> </w:t>
      </w:r>
      <w:r>
        <w:t xml:space="preserve">решения дифференциальных уравнений в Julia.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Созданы литературные скрипты</w:t>
      </w:r>
      <w:r>
        <w:t xml:space="preserve"> </w:t>
      </w:r>
      <w:r>
        <w:t xml:space="preserve">с использованием Literate.jl.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Сгенерированы производные форматы</w:t>
      </w:r>
      <w:r>
        <w:t xml:space="preserve"> </w:t>
      </w:r>
      <w:r>
        <w:t xml:space="preserve">(чистый код, Jupyter notebooks, Quarto).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Подготовлен отчёт</w:t>
      </w:r>
      <w:r>
        <w:t xml:space="preserve"> </w:t>
      </w:r>
      <w:r>
        <w:t xml:space="preserve">в формате PDF.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Результаты отправлены</w:t>
      </w:r>
      <w:r>
        <w:t xml:space="preserve"> </w:t>
      </w:r>
      <w:r>
        <w:t xml:space="preserve">на GitVerse и оформлены в виде релиза.</w:t>
      </w:r>
    </w:p>
    <w:p>
      <w:pPr>
        <w:pStyle w:val="FirstParagraph"/>
      </w:pPr>
      <w:r>
        <w:t xml:space="preserve">Работа позволила на практике освоить методы математического моделирования колебательных систем и закрепить навыки работы с языком Julia.</w:t>
      </w:r>
    </w:p>
    <w:p>
      <w:r>
        <w:pict>
          <v:rect style="width:0;height:1.5pt" o:hralign="center" o:hrstd="t" o:hr="t"/>
        </w:pic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</w:pPr>
      <w:r>
        <w:t xml:space="preserve">Калиткин Н.Н. Численные методы. — М.: Наука, 1978. — 512 с.</w:t>
      </w:r>
    </w:p>
    <w:p>
      <w:pPr>
        <w:numPr>
          <w:ilvl w:val="0"/>
          <w:numId w:val="1010"/>
        </w:numPr>
      </w:pPr>
      <w:r>
        <w:t xml:space="preserve">Тихонов А.Н., Самарский А.А. Уравнения математической физики. — М.: Наука, 1977. — 736 с.</w:t>
      </w:r>
    </w:p>
    <w:p>
      <w:pPr>
        <w:numPr>
          <w:ilvl w:val="0"/>
          <w:numId w:val="1010"/>
        </w:numPr>
      </w:pPr>
      <w:r>
        <w:t xml:space="preserve">Хайрер Э., Ваннер Г. Решение обыкновенных дифференциальных уравнений. Жесткие и дифференциально-алгебраические задачи. — М.: Мир, 1999. — 685 с.</w:t>
      </w:r>
    </w:p>
    <w:p>
      <w:pPr>
        <w:numPr>
          <w:ilvl w:val="0"/>
          <w:numId w:val="1010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Чувакина Мария Владимировна</dc:creator>
  <dc:language>ru-RU</dc:language>
  <cp:keywords/>
  <dcterms:created xsi:type="dcterms:W3CDTF">2026-03-12T09:45:55Z</dcterms:created>
  <dcterms:modified xsi:type="dcterms:W3CDTF">2026-03-12T09:45:55Z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гармонического осциллятора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