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5.png" ContentType="image/png"/>
  <Override PartName="/word/media/rId39.png" ContentType="image/png"/>
  <Override PartName="/word/media/rId21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Моделирование гармонического осциллятора в Scilab</w:t>
      </w:r>
    </w:p>
    <w:p>
      <w:pPr>
        <w:pStyle w:val="Author"/>
      </w:pPr>
      <w:r>
        <w:t xml:space="preserve">Чувакина Мария Владимировна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Гармонический осциллятор — одна из важнейших моделей в физике и математике, описывающая колебательные системы. Уравнение движения имеет вид: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β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коэффициент затухания,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собственная частота,</w:t>
      </w:r>
      <w:r>
        <w:t xml:space="preserve"> </w:t>
      </w:r>
      <w:r>
        <w:t xml:space="preserve">-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внешняя вынуждающая сила.</w:t>
      </w:r>
    </w:p>
    <w:bookmarkEnd w:id="20"/>
    <w:bookmarkStart w:id="24" w:name="мой-вариант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Мой вариант</w:t>
      </w:r>
    </w:p>
    <w:p>
      <w:pPr>
        <w:pStyle w:val="FirstParagraph"/>
      </w:pPr>
      <w:r>
        <w:t xml:space="preserve">Номер варианта:</w:t>
      </w:r>
      <w:r>
        <w:t xml:space="preserve"> </w:t>
      </w:r>
      <w:r>
        <w:rPr>
          <w:b/>
          <w:bCs/>
        </w:rPr>
        <w:t xml:space="preserve">56</w:t>
      </w:r>
      <w:r>
        <w:t xml:space="preserve"> </w:t>
      </w:r>
      <w:r>
        <w:t xml:space="preserve">(определён по формуле (Sn mod 70)+1, где Sn = 1132236055)</w:t>
      </w:r>
    </w:p>
    <w:p>
      <w:pPr>
        <w:pStyle w:val="BodyText"/>
      </w:pPr>
      <w:r>
        <w:rPr>
          <w:b/>
          <w:bCs/>
        </w:rPr>
        <w:t xml:space="preserve">Параметры варианта: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815"/>
        <w:gridCol w:w="3135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Случай</w:t>
            </w:r>
          </w:p>
        </w:tc>
        <w:tc>
          <w:tcPr/>
          <w:p>
            <w:pPr>
              <w:pStyle w:val="Compact"/>
            </w:pPr>
            <w:r>
              <w:t xml:space="preserve">Уравнение</w:t>
            </w:r>
          </w:p>
        </w:tc>
        <w:tc>
          <w:tcPr/>
          <w:p>
            <w:pPr>
              <w:pStyle w:val="Compact"/>
            </w:pPr>
            <w:r>
              <w:t xml:space="preserve">Начальные условия</w:t>
            </w:r>
          </w:p>
        </w:tc>
        <w:tc>
          <w:tcPr/>
          <w:p>
            <w:pPr>
              <w:pStyle w:val="Compact"/>
            </w:pPr>
            <w:r>
              <w:t xml:space="preserve">Интервал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(без затухания)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̈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10.5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0.8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54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</w:pPr>
            <w:r>
              <w:t xml:space="preserve">2 (с затуханием)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̈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7</m:t>
              </m:r>
              <m:acc>
                <m:accPr>
                  <m:chr m:val="̇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0.8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54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</w:pPr>
            <w:r>
              <w:t xml:space="preserve">3 (с затуханием и силой)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̈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0.4</m:t>
              </m:r>
              <m:acc>
                <m:accPr>
                  <m:chr m:val="̇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5.5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0.8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54</m:t>
                  </m:r>
                </m:e>
              </m:d>
            </m:oMath>
          </w:p>
        </w:tc>
      </w:tr>
    </w:tbl>
    <w:p>
      <w:pPr>
        <w:pStyle w:val="BodyText"/>
      </w:pPr>
      <w:r>
        <w:t xml:space="preserve">Шаг интегрирования:</w:t>
      </w:r>
      <w:r>
        <w:t xml:space="preserve"> </w:t>
      </w:r>
      <m:oMath>
        <m:r>
          <m:t>0.05</m:t>
        </m:r>
      </m:oMath>
    </w:p>
    <w:p>
      <w:pPr>
        <w:pStyle w:val="BodyText"/>
      </w:pPr>
      <w:r>
        <w:t xml:space="preserve">Сначала переходим в рабочую директорию</w:t>
      </w:r>
    </w:p>
    <w:p>
      <w:pPr>
        <w:pStyle w:val="CaptionedFigure"/>
      </w:pPr>
      <w:r>
        <w:drawing>
          <wp:inline>
            <wp:extent cx="5334000" cy="153306"/>
            <wp:effectExtent b="0" l="0" r="0" t="0"/>
            <wp:docPr descr="Переход в рабочую директорию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рабочую директорию</w:t>
      </w:r>
    </w:p>
    <w:bookmarkEnd w:id="24"/>
    <w:bookmarkStart w:id="27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bookmarkStart w:id="25" w:name="преобразование-в-систему-первого-порядка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Преобразование в систему первого порядка</w:t>
      </w:r>
    </w:p>
    <w:p>
      <w:pPr>
        <w:pStyle w:val="FirstParagraph"/>
      </w:pPr>
      <w:r>
        <w:t xml:space="preserve">Вводим новые переменные: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̇"/>
          </m:accPr>
          <m:e>
            <m:r>
              <m:t>x</m:t>
            </m:r>
          </m:e>
        </m:acc>
      </m:oMath>
      <w:r>
        <w:t xml:space="preserve">. Тогда система имеет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acc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β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bookmarkEnd w:id="25"/>
    <w:bookmarkStart w:id="26" w:name="фазовый-портрет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Фазовый портрет</w:t>
      </w:r>
    </w:p>
    <w:p>
      <w:pPr>
        <w:pStyle w:val="FirstParagraph"/>
      </w:pPr>
      <w:r>
        <w:rPr>
          <w:b/>
          <w:bCs/>
        </w:rPr>
        <w:t xml:space="preserve">Фазовая траектория</w:t>
      </w:r>
      <w:r>
        <w:t xml:space="preserve"> </w:t>
      </w:r>
      <w:r>
        <w:t xml:space="preserve">— кривая на фазовой плоскости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acc>
              <m:accPr>
                <m:chr m:val="̇"/>
              </m:accPr>
              <m:e>
                <m:r>
                  <m:t>x</m:t>
                </m:r>
              </m:e>
            </m:acc>
          </m:e>
        </m:d>
      </m:oMath>
      <w:r>
        <w:t xml:space="preserve">, описывающая эволюцию системы для конкретных начальных условий.</w:t>
      </w:r>
    </w:p>
    <w:p>
      <w:pPr>
        <w:pStyle w:val="BodyText"/>
      </w:pPr>
      <w:r>
        <w:rPr>
          <w:b/>
          <w:bCs/>
        </w:rPr>
        <w:t xml:space="preserve">Фазовый портрет</w:t>
      </w:r>
      <w:r>
        <w:t xml:space="preserve"> </w:t>
      </w:r>
      <w:r>
        <w:t xml:space="preserve">— совокупность фазовых траекторий для различных начальных условий.</w:t>
      </w:r>
    </w:p>
    <w:bookmarkEnd w:id="26"/>
    <w:bookmarkEnd w:id="27"/>
    <w:bookmarkStart w:id="43" w:name="результаты-моделирования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Результаты моделирования</w:t>
      </w:r>
    </w:p>
    <w:p>
      <w:pPr>
        <w:pStyle w:val="FirstParagraph"/>
      </w:pPr>
      <w:r>
        <w:t xml:space="preserve">Создадим необходимые скрипты</w:t>
      </w:r>
    </w:p>
    <w:p>
      <w:pPr>
        <w:pStyle w:val="CaptionedFigure"/>
      </w:pPr>
      <w:r>
        <w:drawing>
          <wp:inline>
            <wp:extent cx="5334000" cy="372263"/>
            <wp:effectExtent b="0" l="0" r="0" t="0"/>
            <wp:docPr descr="Создание скриптов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скриптов</w:t>
      </w:r>
    </w:p>
    <w:bookmarkStart w:id="34" w:name="X0045ef1fd5e5e12a8442b1fa3b32ca673eea3f1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Случай 1: Свободные колебания без затухания</w:t>
      </w:r>
    </w:p>
    <w:p>
      <w:pPr>
        <w:pStyle w:val="FirstParagraph"/>
      </w:pPr>
      <w:r>
        <w:t xml:space="preserve">Уравнение: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10.5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Собственная частота: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10.5</m:t>
            </m:r>
          </m:e>
        </m:rad>
        <m:r>
          <m:rPr>
            <m:sty m:val="p"/>
          </m:rPr>
          <m:t>≈</m:t>
        </m:r>
        <m:r>
          <m:t>3.24</m:t>
        </m:r>
      </m:oMath>
      <w:r>
        <w:t xml:space="preserve"> </w:t>
      </w:r>
      <w:r>
        <w:t xml:space="preserve">рад/с</w:t>
      </w:r>
      <w:r>
        <w:br/>
      </w:r>
      <w:r>
        <w:t xml:space="preserve">Период колебаний: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/</m:t>
        </m:r>
        <m:sSub>
          <m:e>
            <m: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1.94</m:t>
        </m:r>
      </m:oMath>
      <w:r>
        <w:t xml:space="preserve"> </w:t>
      </w:r>
      <w:r>
        <w:t xml:space="preserve">с</w:t>
      </w:r>
    </w:p>
    <w:p>
      <w:pPr>
        <w:pStyle w:val="CaptionedFigure"/>
      </w:pPr>
      <w:r>
        <w:drawing>
          <wp:inline>
            <wp:extent cx="5334000" cy="4022360"/>
            <wp:effectExtent b="0" l="0" r="0" t="0"/>
            <wp:docPr descr="Динамика x(t) и фазовый портрет для случая 1" title="" id="32" name="Picture"/>
            <a:graphic>
              <a:graphicData uri="http://schemas.openxmlformats.org/drawingml/2006/picture">
                <pic:pic>
                  <pic:nvPicPr>
                    <pic:cNvPr descr="../project/plots/case1_plot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2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x(t) и фазовый портрет для случая 1</w:t>
      </w:r>
    </w:p>
    <w:p>
      <w:pPr>
        <w:pStyle w:val="BodyText"/>
      </w:pPr>
      <w:r>
        <w:rPr>
          <w:b/>
          <w:bCs/>
        </w:rPr>
        <w:t xml:space="preserve">Анализ:</w:t>
      </w:r>
      <w:r>
        <w:t xml:space="preserve"> </w:t>
      </w:r>
      <w:r>
        <w:t xml:space="preserve">- Колебания гармонические, амплитуда постоянна</w:t>
      </w:r>
      <w:r>
        <w:t xml:space="preserve"> </w:t>
      </w:r>
      <w:r>
        <w:t xml:space="preserve">- Фазовый портрет — эллипс (замкнутая траектория)</w:t>
      </w:r>
    </w:p>
    <w:bookmarkEnd w:id="34"/>
    <w:bookmarkStart w:id="38" w:name="случай-2-затухающие-колебания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Случай 2: Затухающие колебания</w:t>
      </w:r>
    </w:p>
    <w:p>
      <w:pPr>
        <w:pStyle w:val="FirstParagraph"/>
      </w:pPr>
      <w:r>
        <w:t xml:space="preserve">Уравнение: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7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Собственная частота:</w:t>
      </w:r>
      <w:r>
        <w:t xml:space="preserve"> </w:t>
      </w:r>
      <m:oMath>
        <m:sSub>
          <m:e>
            <m: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≈</m:t>
        </m:r>
        <m:r>
          <m:t>2.24</m:t>
        </m:r>
      </m:oMath>
      <w:r>
        <w:t xml:space="preserve"> </w:t>
      </w:r>
      <w:r>
        <w:t xml:space="preserve">рад/с</w:t>
      </w:r>
      <w:r>
        <w:br/>
      </w:r>
      <w:r>
        <w:t xml:space="preserve">Коэффициент затухания: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3.5</m:t>
        </m:r>
      </m:oMath>
    </w:p>
    <w:p>
      <w:pPr>
        <w:pStyle w:val="BodyText"/>
      </w:pPr>
      <w:r>
        <w:t xml:space="preserve">Так как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, режим —</w:t>
      </w:r>
      <w:r>
        <w:t xml:space="preserve"> </w:t>
      </w:r>
      <w:r>
        <w:rPr>
          <w:b/>
          <w:bCs/>
        </w:rPr>
        <w:t xml:space="preserve">апериодический</w:t>
      </w:r>
      <w:r>
        <w:t xml:space="preserve"> </w:t>
      </w:r>
      <w:r>
        <w:t xml:space="preserve">(сильное затухание).</w:t>
      </w:r>
    </w:p>
    <w:p>
      <w:pPr>
        <w:pStyle w:val="CaptionedFigure"/>
      </w:pPr>
      <w:r>
        <w:drawing>
          <wp:inline>
            <wp:extent cx="5334000" cy="4022360"/>
            <wp:effectExtent b="0" l="0" r="0" t="0"/>
            <wp:docPr descr="Динамика x(t) и фазовый портрет для случая 2" title="" id="36" name="Picture"/>
            <a:graphic>
              <a:graphicData uri="http://schemas.openxmlformats.org/drawingml/2006/picture">
                <pic:pic>
                  <pic:nvPicPr>
                    <pic:cNvPr descr="../project/plots/case2_plot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2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x(t) и фазовый портрет для случая 2</w:t>
      </w:r>
    </w:p>
    <w:p>
      <w:pPr>
        <w:pStyle w:val="BodyText"/>
      </w:pPr>
      <w:r>
        <w:rPr>
          <w:b/>
          <w:bCs/>
        </w:rPr>
        <w:t xml:space="preserve">Анализ:</w:t>
      </w:r>
      <w:r>
        <w:t xml:space="preserve"> </w:t>
      </w:r>
      <w:r>
        <w:t xml:space="preserve">- Колебания быстро затухают, перерегулирование отсутствует</w:t>
      </w:r>
      <w:r>
        <w:t xml:space="preserve"> </w:t>
      </w:r>
      <w:r>
        <w:t xml:space="preserve">- Фазовый портрет — спираль, сходящаяся к точке (0,0)</w:t>
      </w:r>
    </w:p>
    <w:bookmarkEnd w:id="38"/>
    <w:bookmarkStart w:id="42" w:name="случай-3-вынужденные-колебания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Случай 3: Вынужденные колебания</w:t>
      </w:r>
    </w:p>
    <w:p>
      <w:pPr>
        <w:pStyle w:val="FirstParagraph"/>
      </w:pPr>
      <w:r>
        <w:t xml:space="preserve">Уравнение: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0.4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5.5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t</m:t>
            </m:r>
          </m:e>
        </m:d>
      </m:oMath>
    </w:p>
    <w:p>
      <w:pPr>
        <w:pStyle w:val="BodyText"/>
      </w:pPr>
      <w:r>
        <w:t xml:space="preserve">Собственная частота:</w:t>
      </w:r>
      <w:r>
        <w:t xml:space="preserve"> </w:t>
      </w:r>
      <m:oMath>
        <m:sSub>
          <m:e>
            <m:r>
              <m:t>ω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5.5</m:t>
            </m:r>
          </m:e>
        </m:rad>
        <m:r>
          <m:rPr>
            <m:sty m:val="p"/>
          </m:rPr>
          <m:t>≈</m:t>
        </m:r>
        <m:r>
          <m:t>2.35</m:t>
        </m:r>
      </m:oMath>
      <w:r>
        <w:t xml:space="preserve"> </w:t>
      </w:r>
      <w:r>
        <w:t xml:space="preserve">рад/с</w:t>
      </w:r>
      <w:r>
        <w:br/>
      </w:r>
      <w:r>
        <w:t xml:space="preserve">Частота внешней силы:</w:t>
      </w:r>
      <w:r>
        <w:t xml:space="preserve"> </w:t>
      </w:r>
      <m:oMath>
        <m:sSub>
          <m:e>
            <m:r>
              <m:t>ω</m:t>
            </m:r>
          </m:e>
          <m:sub>
            <m:r>
              <m:rPr>
                <m:nor/>
                <m:sty m:val="p"/>
              </m:rPr>
              <m:t>вн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рад/с</w:t>
      </w:r>
      <w:r>
        <w:br/>
      </w:r>
      <w:r>
        <w:t xml:space="preserve">Коэффициент затухания: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0.2</m:t>
        </m:r>
      </m:oMath>
    </w:p>
    <w:p>
      <w:pPr>
        <w:pStyle w:val="CaptionedFigure"/>
      </w:pPr>
      <w:r>
        <w:drawing>
          <wp:inline>
            <wp:extent cx="5334000" cy="4022360"/>
            <wp:effectExtent b="0" l="0" r="0" t="0"/>
            <wp:docPr descr="Динамика x(t) и фазовый портрет для случая 3" title="" id="40" name="Picture"/>
            <a:graphic>
              <a:graphicData uri="http://schemas.openxmlformats.org/drawingml/2006/picture">
                <pic:pic>
                  <pic:nvPicPr>
                    <pic:cNvPr descr="../project/plots/case3_plot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2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x(t) и фазовый портрет для случая 3</w:t>
      </w:r>
    </w:p>
    <w:p>
      <w:pPr>
        <w:pStyle w:val="BodyText"/>
      </w:pPr>
      <w:r>
        <w:rPr>
          <w:b/>
          <w:bCs/>
        </w:rPr>
        <w:t xml:space="preserve">Анализ:</w:t>
      </w:r>
      <w:r>
        <w:t xml:space="preserve"> </w:t>
      </w:r>
      <w:r>
        <w:t xml:space="preserve">- Переходный процесс длится ~10-15 секунд</w:t>
      </w:r>
      <w:r>
        <w:t xml:space="preserve"> </w:t>
      </w:r>
      <w:r>
        <w:t xml:space="preserve">- Установившиеся колебания имеют частоту внешней силы</w:t>
      </w:r>
      <w:r>
        <w:t xml:space="preserve"> </w:t>
      </w:r>
      <w:r>
        <w:t xml:space="preserve">- Амплитуда установившихся колебаний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уст</m:t>
            </m:r>
          </m:sub>
        </m:sSub>
        <m:r>
          <m:rPr>
            <m:sty m:val="p"/>
          </m:rPr>
          <m:t>≈</m:t>
        </m:r>
        <m:r>
          <m:t>1.2</m:t>
        </m:r>
      </m:oMath>
      <w:r>
        <w:t xml:space="preserve"> </w:t>
      </w:r>
      <w:r>
        <w:t xml:space="preserve">- Фазовый портрет стремится к предельному циклу</w:t>
      </w:r>
    </w:p>
    <w:bookmarkEnd w:id="42"/>
    <w:bookmarkEnd w:id="43"/>
    <w:bookmarkStart w:id="49" w:name="ответы-на-теоретически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теоретические вопросы</w:t>
      </w:r>
    </w:p>
    <w:bookmarkStart w:id="44" w:name="X01c57f5bed2ad0a7a0f669897d4282e3102c33d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1. Простейшая модель гармонических колебаний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4"/>
    <w:bookmarkStart w:id="45" w:name="определение-осциллятора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2. Определение осциллятора</w:t>
      </w:r>
    </w:p>
    <w:p>
      <w:pPr>
        <w:pStyle w:val="FirstParagraph"/>
      </w:pPr>
      <w:r>
        <w:rPr>
          <w:b/>
          <w:bCs/>
        </w:rPr>
        <w:t xml:space="preserve">Осциллятор</w:t>
      </w:r>
      <w:r>
        <w:t xml:space="preserve"> </w:t>
      </w:r>
      <w:r>
        <w:t xml:space="preserve">— физическая система, совершающая колебательные движения.</w:t>
      </w:r>
      <w:r>
        <w:t xml:space="preserve"> </w:t>
      </w:r>
      <w:r>
        <w:rPr>
          <w:b/>
          <w:bCs/>
        </w:rPr>
        <w:t xml:space="preserve">Гармонический осциллятор</w:t>
      </w:r>
      <w:r>
        <w:t xml:space="preserve"> </w:t>
      </w:r>
      <w:r>
        <w:t xml:space="preserve">— модель, в которой возвращающая сила пропорциональна смещению.</w:t>
      </w:r>
    </w:p>
    <w:bookmarkEnd w:id="45"/>
    <w:bookmarkStart w:id="46" w:name="модель-математического-маятника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3. Модель математического маятника</w:t>
      </w:r>
    </w:p>
    <w:p>
      <w:pPr>
        <w:pStyle w:val="FirstParagraph"/>
      </w:pPr>
      <w:r>
        <w:t xml:space="preserve">Для малых углов:</w:t>
      </w:r>
      <w:r>
        <w:t xml:space="preserve"> </w:t>
      </w:r>
      <m:oMath>
        <m:acc>
          <m:accPr>
            <m:chr m:val="̈"/>
          </m:accPr>
          <m:e>
            <m:r>
              <m:t>θ</m:t>
            </m:r>
          </m:e>
        </m:acc>
        <m:r>
          <m:rPr>
            <m:sty m:val="p"/>
          </m:rPr>
          <m:t>+</m:t>
        </m:r>
        <m:f>
          <m:fPr>
            <m:type m:val="bar"/>
          </m:fPr>
          <m:num>
            <m:r>
              <m:t>g</m:t>
            </m:r>
          </m:num>
          <m:den>
            <m:r>
              <m:t>L</m:t>
            </m:r>
          </m:den>
        </m:f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, где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g</m:t>
            </m:r>
            <m:r>
              <m:rPr>
                <m:sty m:val="p"/>
              </m:rPr>
              <m:t>/</m:t>
            </m:r>
            <m:r>
              <m:t>L</m:t>
            </m:r>
          </m:e>
        </m:rad>
      </m:oMath>
    </w:p>
    <w:bookmarkEnd w:id="46"/>
    <w:bookmarkStart w:id="47" w:name="X77f930f73e39b216e2a853c63ce7b62aef2f480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4. Алгоритм перехода к системе первого порядка</w:t>
      </w:r>
    </w:p>
    <w:p>
      <w:pPr>
        <w:pStyle w:val="Compact"/>
        <w:numPr>
          <w:ilvl w:val="0"/>
          <w:numId w:val="1001"/>
        </w:numPr>
      </w:pPr>
      <w:r>
        <w:t xml:space="preserve">Ввести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̇"/>
          </m:accPr>
          <m:e>
            <m:r>
              <m:t>x</m:t>
            </m:r>
          </m:e>
        </m:acc>
      </m:oMath>
    </w:p>
    <w:p>
      <w:pPr>
        <w:pStyle w:val="Compact"/>
        <w:numPr>
          <w:ilvl w:val="0"/>
          <w:numId w:val="1001"/>
        </w:numPr>
      </w:pPr>
      <w:r>
        <w:t xml:space="preserve">Выразить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</w:p>
    <w:p>
      <w:pPr>
        <w:pStyle w:val="Compact"/>
        <w:numPr>
          <w:ilvl w:val="0"/>
          <w:numId w:val="1001"/>
        </w:numPr>
      </w:pPr>
      <w:r>
        <w:t xml:space="preserve">Выразить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ω</m:t>
            </m:r>
          </m:e>
          <m:sub>
            <m:r>
              <m:t>0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r>
          <m:t>β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</w:p>
    <w:bookmarkEnd w:id="47"/>
    <w:bookmarkStart w:id="48" w:name="фазовый-портрет-и-фазовая-траектория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5. Фазовый портрет и фазовая траектория</w:t>
      </w:r>
    </w:p>
    <w:p>
      <w:pPr>
        <w:pStyle w:val="FirstParagraph"/>
      </w:pPr>
      <w:r>
        <w:rPr>
          <w:b/>
          <w:bCs/>
        </w:rPr>
        <w:t xml:space="preserve">Фазовая траектория</w:t>
      </w:r>
      <w:r>
        <w:t xml:space="preserve"> </w:t>
      </w:r>
      <w:r>
        <w:t xml:space="preserve">— кривая на плоскости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acc>
              <m:accPr>
                <m:chr m:val="̇"/>
              </m:accPr>
              <m:e>
                <m:r>
                  <m:t>x</m:t>
                </m:r>
              </m:e>
            </m:acc>
          </m:e>
        </m:d>
      </m:oMath>
      <w:r>
        <w:t xml:space="preserve"> </w:t>
      </w:r>
      <w:r>
        <w:t xml:space="preserve">для конкретных начальных условий.</w:t>
      </w:r>
      <w:r>
        <w:br/>
      </w:r>
      <w:r>
        <w:rPr>
          <w:b/>
          <w:bCs/>
        </w:rPr>
        <w:t xml:space="preserve">Фазовый портрет</w:t>
      </w:r>
      <w:r>
        <w:t xml:space="preserve"> </w:t>
      </w:r>
      <w:r>
        <w:t xml:space="preserve">— совокупность фазовых траекторий для различных начальных условий.</w:t>
      </w:r>
    </w:p>
    <w:bookmarkEnd w:id="48"/>
    <w:bookmarkEnd w:id="49"/>
    <w:bookmarkStart w:id="50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работы:</w:t>
      </w:r>
    </w:p>
    <w:p>
      <w:pPr>
        <w:pStyle w:val="Compact"/>
        <w:numPr>
          <w:ilvl w:val="0"/>
          <w:numId w:val="1002"/>
        </w:numPr>
      </w:pPr>
      <w:r>
        <w:t xml:space="preserve">Реализованы три случая гармонического осциллятора в Scilab</w:t>
      </w:r>
    </w:p>
    <w:p>
      <w:pPr>
        <w:pStyle w:val="Compact"/>
        <w:numPr>
          <w:ilvl w:val="0"/>
          <w:numId w:val="1002"/>
        </w:numPr>
      </w:pPr>
      <w:r>
        <w:t xml:space="preserve">Построены графики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фазовые портреты для каждого случая</w:t>
      </w:r>
    </w:p>
    <w:p>
      <w:pPr>
        <w:pStyle w:val="Compact"/>
        <w:numPr>
          <w:ilvl w:val="0"/>
          <w:numId w:val="1002"/>
        </w:numPr>
      </w:pPr>
      <w:r>
        <w:t xml:space="preserve">Проанализировано влияние затухания и внешней силы на динамику системы</w:t>
      </w:r>
    </w:p>
    <w:p>
      <w:pPr>
        <w:pStyle w:val="Compact"/>
        <w:numPr>
          <w:ilvl w:val="0"/>
          <w:numId w:val="1002"/>
        </w:numPr>
      </w:pPr>
      <w:r>
        <w:t xml:space="preserve">Даны ответы на теоретические вопросы</w:t>
      </w:r>
    </w:p>
    <w:bookmarkEnd w:id="50"/>
    <w:bookmarkStart w:id="51" w:name="список-литературы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Тарасевич Ю.Ю. Математическое моделирование в Scilab. — М.: СОЛОН-Пресс, 2018.</w:t>
      </w:r>
    </w:p>
    <w:p>
      <w:pPr>
        <w:pStyle w:val="Compact"/>
        <w:numPr>
          <w:ilvl w:val="0"/>
          <w:numId w:val="1003"/>
        </w:numPr>
      </w:pPr>
      <w:r>
        <w:t xml:space="preserve">Документация Scilab: https://www.scilab.org/documentation</w:t>
      </w:r>
    </w:p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21" Target="media/rId21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Чувакина Мария Владимировна</dc:creator>
  <dc:language>ru-RU</dc:language>
  <cp:keywords/>
  <dcterms:created xsi:type="dcterms:W3CDTF">2026-03-24T08:46:28Z</dcterms:created>
  <dcterms:modified xsi:type="dcterms:W3CDTF">2026-03-24T08:46:28Z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iography">
    <vt:lpwstr>bib/cite.bib</vt:lpwstr>
  </property>
  <property fmtid="{D5CDD505-2E9C-101B-9397-08002B2CF9AE}" pid="5" name="ccsDelim">
    <vt:lpwstr>, </vt:lpwstr>
  </property>
  <property fmtid="{D5CDD505-2E9C-101B-9397-08002B2CF9AE}" pid="6" name="ccsLabelSep">
    <vt:lpwstr> — </vt:lpwstr>
  </property>
  <property fmtid="{D5CDD505-2E9C-101B-9397-08002B2CF9AE}" pid="7" name="ccsTemplate">
    <vt:lpwstr>iccsLabelSept</vt:lpwstr>
  </property>
  <property fmtid="{D5CDD505-2E9C-101B-9397-08002B2CF9AE}" pid="8" name="chapDelim">
    <vt:lpwstr>.</vt:lpwstr>
  </property>
  <property fmtid="{D5CDD505-2E9C-101B-9397-08002B2CF9AE}" pid="9" name="chapters">
    <vt:lpwstr>False</vt:lpwstr>
  </property>
  <property fmtid="{D5CDD505-2E9C-101B-9397-08002B2CF9AE}" pid="10" name="chaptersDepth">
    <vt:lpwstr>1</vt:lpwstr>
  </property>
  <property fmtid="{D5CDD505-2E9C-101B-9397-08002B2CF9AE}" pid="11" name="codeBlockCaptions">
    <vt:lpwstr>False</vt:lpwstr>
  </property>
  <property fmtid="{D5CDD505-2E9C-101B-9397-08002B2CF9AE}" pid="12" name="cref">
    <vt:lpwstr>False</vt:lpwstr>
  </property>
  <property fmtid="{D5CDD505-2E9C-101B-9397-08002B2CF9AE}" pid="13" name="crossrefYaml">
    <vt:lpwstr>pandoc-crossref.yaml</vt:lpwstr>
  </property>
  <property fmtid="{D5CDD505-2E9C-101B-9397-08002B2CF9AE}" pid="14" name="csl">
    <vt:lpwstr>https://www.zotero.org/styles/gost-r-7-0-5-2008</vt:lpwstr>
  </property>
  <property fmtid="{D5CDD505-2E9C-101B-9397-08002B2CF9AE}" pid="15" name="date">
    <vt:lpwstr>2026</vt:lpwstr>
  </property>
  <property fmtid="{D5CDD505-2E9C-101B-9397-08002B2CF9AE}" pid="16" name="documentclass">
    <vt:lpwstr>scrreprt</vt:lpwstr>
  </property>
  <property fmtid="{D5CDD505-2E9C-101B-9397-08002B2CF9AE}" pid="17" name="eqLabels">
    <vt:lpwstr>arabic</vt:lpwstr>
  </property>
  <property fmtid="{D5CDD505-2E9C-101B-9397-08002B2CF9AE}" pid="18" name="eqnBlockInlineMath">
    <vt:lpwstr>False</vt:lpwstr>
  </property>
  <property fmtid="{D5CDD505-2E9C-101B-9397-08002B2CF9AE}" pid="19" name="eqnBlockTemplate">
    <vt:lpwstr>ti</vt:lpwstr>
  </property>
  <property fmtid="{D5CDD505-2E9C-101B-9397-08002B2CF9AE}" pid="20" name="eqnDisplayTemplate">
    <vt:lpwstr>e</vt:lpwstr>
  </property>
  <property fmtid="{D5CDD505-2E9C-101B-9397-08002B2CF9AE}" pid="21" name="eqnIndexTemplate">
    <vt:lpwstr>(i)</vt:lpwstr>
  </property>
  <property fmtid="{D5CDD505-2E9C-101B-9397-08002B2CF9AE}" pid="22" name="eqnInlineTableTemplate">
    <vt:lpwstr>e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lastDelim">
    <vt:lpwstr>, </vt:lpwstr>
  </property>
  <property fmtid="{D5CDD505-2E9C-101B-9397-08002B2CF9AE}" pid="34" name="linestretch">
    <vt:lpwstr>1.5</vt:lpwstr>
  </property>
  <property fmtid="{D5CDD505-2E9C-101B-9397-08002B2CF9AE}" pid="35" name="linkReferences">
    <vt:lpwstr>False</vt:lpwstr>
  </property>
  <property fmtid="{D5CDD505-2E9C-101B-9397-08002B2CF9AE}" pid="36" name="listItemTitleDelim">
    <vt:lpwstr>.</vt:lpwstr>
  </property>
  <property fmtid="{D5CDD505-2E9C-101B-9397-08002B2CF9AE}" pid="37" name="listingTemplate">
    <vt:lpwstr>listingTitle ititleDelim t</vt:lpwstr>
  </property>
  <property fmtid="{D5CDD505-2E9C-101B-9397-08002B2CF9AE}" pid="38" name="listingTitle">
    <vt:lpwstr>Listing</vt:lpwstr>
  </property>
  <property fmtid="{D5CDD505-2E9C-101B-9397-08002B2CF9AE}" pid="39" name="listings">
    <vt:lpwstr>False</vt:lpwstr>
  </property>
  <property fmtid="{D5CDD505-2E9C-101B-9397-08002B2CF9AE}" pid="40" name="lof">
    <vt:lpwstr>True</vt:lpwstr>
  </property>
  <property fmtid="{D5CDD505-2E9C-101B-9397-08002B2CF9AE}" pid="41" name="lofItemTemplate">
    <vt:lpwstr>lofItemTitleilistItemTitleDelimt </vt:lpwstr>
  </property>
  <property fmtid="{D5CDD505-2E9C-101B-9397-08002B2CF9AE}" pid="42" name="lofItemTitle">
    <vt:lpwstr/>
  </property>
  <property fmtid="{D5CDD505-2E9C-101B-9397-08002B2CF9AE}" pid="43" name="lofTitle">
    <vt:lpwstr>List of Figures</vt:lpwstr>
  </property>
  <property fmtid="{D5CDD505-2E9C-101B-9397-08002B2CF9AE}" pid="44" name="lolItemTemplate">
    <vt:lpwstr>lolItemTitleilistItemTitleDelimt </vt:lpwstr>
  </property>
  <property fmtid="{D5CDD505-2E9C-101B-9397-08002B2CF9AE}" pid="45" name="lolItemTitle">
    <vt:lpwstr/>
  </property>
  <property fmtid="{D5CDD505-2E9C-101B-9397-08002B2CF9AE}" pid="46" name="lolTitle">
    <vt:lpwstr>List of Listings</vt:lpwstr>
  </property>
  <property fmtid="{D5CDD505-2E9C-101B-9397-08002B2CF9AE}" pid="47" name="lot">
    <vt:lpwstr>True</vt:lpwstr>
  </property>
  <property fmtid="{D5CDD505-2E9C-101B-9397-08002B2CF9AE}" pid="48" name="lotItemTemplate">
    <vt:lpwstr>lotItemTitleilistItemTitleDelimt </vt:lpwstr>
  </property>
  <property fmtid="{D5CDD505-2E9C-101B-9397-08002B2CF9AE}" pid="49" name="lotItemTitle">
    <vt:lpwstr/>
  </property>
  <property fmtid="{D5CDD505-2E9C-101B-9397-08002B2CF9AE}" pid="50" name="lotTitle">
    <vt:lpwstr>List of Tables</vt:lpwstr>
  </property>
  <property fmtid="{D5CDD505-2E9C-101B-9397-08002B2CF9AE}" pid="51" name="lstLabels">
    <vt:lpwstr>arabic</vt:lpwstr>
  </property>
  <property fmtid="{D5CDD505-2E9C-101B-9397-08002B2CF9AE}" pid="52" name="lstPrefix">
    <vt:lpwstr/>
  </property>
  <property fmtid="{D5CDD505-2E9C-101B-9397-08002B2CF9AE}" pid="53" name="lstPrefixTemplate">
    <vt:lpwstr>p i</vt:lpwstr>
  </property>
  <property fmtid="{D5CDD505-2E9C-101B-9397-08002B2CF9AE}" pid="54" name="nameInLink">
    <vt:lpwstr>False</vt:lpwstr>
  </property>
  <property fmtid="{D5CDD505-2E9C-101B-9397-08002B2CF9AE}" pid="55" name="numberSections">
    <vt:lpwstr>False</vt:lpwstr>
  </property>
  <property fmtid="{D5CDD505-2E9C-101B-9397-08002B2CF9AE}" pid="56" name="pairDelim">
    <vt:lpwstr>, </vt:lpwstr>
  </property>
  <property fmtid="{D5CDD505-2E9C-101B-9397-08002B2CF9AE}" pid="57" name="papersize">
    <vt:lpwstr>a4</vt:lpwstr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secHeaderDelim">
    <vt:lpwstr> </vt:lpwstr>
  </property>
  <property fmtid="{D5CDD505-2E9C-101B-9397-08002B2CF9AE}" pid="62" name="secHeaderTemplate">
    <vt:lpwstr>isecHeaderDelim[n]t</vt:lpwstr>
  </property>
  <property fmtid="{D5CDD505-2E9C-101B-9397-08002B2CF9AE}" pid="63" name="secLabels">
    <vt:lpwstr>arabic</vt:lpwstr>
  </property>
  <property fmtid="{D5CDD505-2E9C-101B-9397-08002B2CF9AE}" pid="64" name="secPrefix">
    <vt:lpwstr/>
  </property>
  <property fmtid="{D5CDD505-2E9C-101B-9397-08002B2CF9AE}" pid="65" name="secPrefixTemplate">
    <vt:lpwstr>p i</vt:lpwstr>
  </property>
  <property fmtid="{D5CDD505-2E9C-101B-9397-08002B2CF9AE}" pid="66" name="sectionsDepth">
    <vt:lpwstr>0</vt:lpwstr>
  </property>
  <property fmtid="{D5CDD505-2E9C-101B-9397-08002B2CF9AE}" pid="67" name="subfigGrid">
    <vt:lpwstr>False</vt:lpwstr>
  </property>
  <property fmtid="{D5CDD505-2E9C-101B-9397-08002B2CF9AE}" pid="68" name="subfigLabels">
    <vt:lpwstr>alpha a</vt:lpwstr>
  </property>
  <property fmtid="{D5CDD505-2E9C-101B-9397-08002B2CF9AE}" pid="69" name="subfigureChildTemplate">
    <vt:lpwstr>i</vt:lpwstr>
  </property>
  <property fmtid="{D5CDD505-2E9C-101B-9397-08002B2CF9AE}" pid="70" name="subfigureRefIndexTemplate">
    <vt:lpwstr>isuf (s)</vt:lpwstr>
  </property>
  <property fmtid="{D5CDD505-2E9C-101B-9397-08002B2CF9AE}" pid="71" name="subfigureTemplate">
    <vt:lpwstr>figureTitle ititleDelim t. ccs</vt:lpwstr>
  </property>
  <property fmtid="{D5CDD505-2E9C-101B-9397-08002B2CF9AE}" pid="72" name="subtitle">
    <vt:lpwstr>Моделирование гармонического осциллятора в Scilab</vt:lpwstr>
  </property>
  <property fmtid="{D5CDD505-2E9C-101B-9397-08002B2CF9AE}" pid="73" name="tableEqns">
    <vt:lpwstr>False</vt:lpwstr>
  </property>
  <property fmtid="{D5CDD505-2E9C-101B-9397-08002B2CF9AE}" pid="74" name="tableTemplate">
    <vt:lpwstr>tableTitle ititleDelim t</vt:lpwstr>
  </property>
  <property fmtid="{D5CDD505-2E9C-101B-9397-08002B2CF9AE}" pid="75" name="tableTitle">
    <vt:lpwstr>Table</vt:lpwstr>
  </property>
  <property fmtid="{D5CDD505-2E9C-101B-9397-08002B2CF9AE}" pid="76" name="tblLabels">
    <vt:lpwstr>arabic</vt:lpwstr>
  </property>
  <property fmtid="{D5CDD505-2E9C-101B-9397-08002B2CF9AE}" pid="77" name="tblPrefix">
    <vt:lpwstr/>
  </property>
  <property fmtid="{D5CDD505-2E9C-101B-9397-08002B2CF9AE}" pid="78" name="tblPrefixTemplate">
    <vt:lpwstr>p i</vt:lpwstr>
  </property>
  <property fmtid="{D5CDD505-2E9C-101B-9397-08002B2CF9AE}" pid="79" name="titleDelim">
    <vt:lpwstr>:</vt:lpwstr>
  </property>
  <property fmtid="{D5CDD505-2E9C-101B-9397-08002B2CF9AE}" pid="80" name="toc">
    <vt:lpwstr>True</vt:lpwstr>
  </property>
  <property fmtid="{D5CDD505-2E9C-101B-9397-08002B2CF9AE}" pid="81" name="toc-depth">
    <vt:lpwstr>2</vt:lpwstr>
  </property>
  <property fmtid="{D5CDD505-2E9C-101B-9397-08002B2CF9AE}" pid="82" name="toc-title">
    <vt:lpwstr>Содержание</vt:lpwstr>
  </property>
</Properties>
</file>