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48.png" ContentType="image/png"/>
  <Override PartName="/word/media/rId44.png" ContentType="image/png"/>
  <Override PartName="/word/media/rId52.png" ContentType="image/png"/>
  <Override PartName="/word/media/rId57.png" ContentType="image/png"/>
  <Override PartName="/word/media/rId61.png" ContentType="image/png"/>
  <Override PartName="/word/media/rId66.png" ContentType="image/png"/>
  <Override PartName="/word/media/rId28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Агентное моделирование SIR</w:t>
      </w:r>
    </w:p>
    <w:p>
      <w:pPr>
        <w:pStyle w:val="Author"/>
      </w:pPr>
      <w:r>
        <w:t xml:space="preserve">Чувакина Мария Владимировна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2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парадигму агентного моделирования, освоить основные понятия (агент, среда, правила поведения) и реализовать агентную эпидемиологическую модель SIR на языке Julia с использованием библиотеки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.</w:t>
      </w:r>
    </w:p>
    <w:bookmarkEnd w:id="20"/>
    <w:bookmarkStart w:id="21" w:name="задание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проект DrWatson для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Реализовать агентную модель SIR.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 с использованием Literate.jl.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производные форматы.</w:t>
      </w:r>
    </w:p>
    <w:p>
      <w:pPr>
        <w:pStyle w:val="Compact"/>
        <w:numPr>
          <w:ilvl w:val="0"/>
          <w:numId w:val="1001"/>
        </w:numPr>
      </w:pPr>
      <w:r>
        <w:t xml:space="preserve">Провести параметрическое исследование модели.</w:t>
      </w:r>
    </w:p>
    <w:p>
      <w:pPr>
        <w:pStyle w:val="Compact"/>
        <w:numPr>
          <w:ilvl w:val="0"/>
          <w:numId w:val="1001"/>
        </w:numPr>
      </w:pPr>
      <w:r>
        <w:t xml:space="preserve">Оформить отчёт.</w:t>
      </w:r>
    </w:p>
    <w:bookmarkEnd w:id="21"/>
    <w:bookmarkEnd w:id="22"/>
    <w:bookmarkStart w:id="26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bookmarkStart w:id="25" w:name="модель-sir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Модель SIR</w:t>
      </w:r>
    </w:p>
    <w:p>
      <w:pPr>
        <w:pStyle w:val="FirstParagraph"/>
      </w:pPr>
      <w:r>
        <w:t xml:space="preserve">Модель SIR — это классическая математическая модель эпидемиологии, описывающая распространение инфекционного заболевания в закрытой популяции. Модель делит всю популяцию на три группы: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 (Susceptible)</w:t>
      </w:r>
      <w:r>
        <w:t xml:space="preserve"> </w:t>
      </w:r>
      <w:r>
        <w:t xml:space="preserve">— восприимчивые к заболеванию индивиды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(Infectious)</w:t>
      </w:r>
      <w:r>
        <w:t xml:space="preserve"> </w:t>
      </w:r>
      <w:r>
        <w:t xml:space="preserve">— инфицированные, способные заражать восприимчивых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 (Recovered)</w:t>
      </w:r>
      <w:r>
        <w:t xml:space="preserve"> </w:t>
      </w:r>
      <w:r>
        <w:t xml:space="preserve">— выздоровевшие (или умершие), получившие иммунитет</w:t>
      </w:r>
    </w:p>
    <w:bookmarkStart w:id="23" w:name="дифференциальные-уравнения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Дифференциальные уравнения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передачи инфекции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— общая численность популяции</w:t>
      </w:r>
    </w:p>
    <w:bookmarkEnd w:id="23"/>
    <w:bookmarkStart w:id="24" w:name="базовое-репродуктивное-число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Базовое репродуктивное число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γ</m:t>
              </m:r>
            </m:den>
          </m:f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эпидемия развивается,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— затухает.</w:t>
      </w:r>
    </w:p>
    <w:bookmarkEnd w:id="24"/>
    <w:bookmarkEnd w:id="25"/>
    <w:bookmarkEnd w:id="26"/>
    <w:bookmarkStart w:id="7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7" w:name="параметры-модел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Параметры модели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</w:t>
            </w:r>
          </w:p>
        </w:tc>
        <w:tc>
          <w:tcPr/>
          <w:p>
            <w:pPr>
              <w:pStyle w:val="Compact"/>
            </w:pPr>
            <w:r>
              <w:t xml:space="preserve">[1000, 1000, 1000]</w:t>
            </w:r>
          </w:p>
        </w:tc>
        <w:tc>
          <w:tcPr/>
          <w:p>
            <w:pPr>
              <w:pStyle w:val="Compact"/>
            </w:pPr>
            <w:r>
              <w:t xml:space="preserve">Численность населения в трёх городах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β_und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Вероятность заражения невыявленными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β_det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Вероятность заражения выявленными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infection_period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Длительность болезни (дней)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detection_time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Время до выявления (дней)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death_rate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Вероятность смерти (2%)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reinfection_probability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Вероятность повторного заражения</w:t>
            </w:r>
          </w:p>
        </w:tc>
      </w:tr>
    </w:tbl>
    <w:bookmarkEnd w:id="27"/>
    <w:bookmarkStart w:id="33" w:name="базовый-эксперимент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Базовый эксперимент</w:t>
      </w:r>
    </w:p>
    <w:p>
      <w:pPr>
        <w:pStyle w:val="FirstParagraph"/>
      </w:pPr>
      <w:r>
        <w:t xml:space="preserve">На рис. 1 представлена динамика изменения численности трёх групп населения: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 (Susceptible)</w:t>
      </w:r>
      <w:r>
        <w:t xml:space="preserve"> </w:t>
      </w:r>
      <w:r>
        <w:t xml:space="preserve">— восприимчивые (синий)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 (Infectious)</w:t>
      </w:r>
      <w:r>
        <w:t xml:space="preserve"> </w:t>
      </w:r>
      <w:r>
        <w:t xml:space="preserve">— инфицированные (красный)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 (Recovered)</w:t>
      </w:r>
      <w:r>
        <w:t xml:space="preserve"> </w:t>
      </w:r>
      <w:r>
        <w:t xml:space="preserve">— выздоровевшие (зелёный)</w:t>
      </w:r>
    </w:p>
    <w:p>
      <w:pPr>
        <w:pStyle w:val="BodyText"/>
      </w:pPr>
      <w:r>
        <w:t xml:space="preserve">Пунктирная линия показывает общую численность населения с учётом умерших.</w:t>
      </w:r>
    </w:p>
    <w:bookmarkStart w:id="31" w:name="fig:basic"/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1: Динамика SIR модели" title="" id="29" name="Picture"/>
            <a:graphic>
              <a:graphicData uri="http://schemas.openxmlformats.org/drawingml/2006/picture">
                <pic:pic>
                  <pic:nvPicPr>
                    <pic:cNvPr descr="../project/plots/sir_basic_dynamic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Динамика SIR модели</w:t>
      </w:r>
    </w:p>
    <w:bookmarkEnd w:id="31"/>
    <w:bookmarkStart w:id="32" w:name="базовое-репродуктивное-число-1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Базовое репродуктивное число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14</m:t>
              </m:r>
            </m:den>
          </m:f>
          <m:r>
            <m:rPr>
              <m:sty m:val="p"/>
            </m:rPr>
            <m:t>=</m:t>
          </m:r>
          <m:r>
            <m:t>7.0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7.0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эпидемия развивается очень быстро. Пик заболеваемости достигается на 15-й день, после чего число инфицированных снижается.</w:t>
      </w:r>
    </w:p>
    <w:bookmarkEnd w:id="32"/>
    <w:bookmarkEnd w:id="33"/>
    <w:bookmarkStart w:id="38" w:name="влияние-коэффициента-заразности-β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Влияние коэффициента заразности β</w:t>
      </w:r>
    </w:p>
    <w:p>
      <w:pPr>
        <w:pStyle w:val="FirstParagraph"/>
      </w:pPr>
      <w:r>
        <w:t xml:space="preserve">На рис. 2 представлено исследование зависимости динамики эпидемии от коэффициента заразности β в диапазоне от 0.1 до 1.0.</w:t>
      </w:r>
    </w:p>
    <w:bookmarkStart w:id="37" w:name="fig:beta-scan"/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2: Сканирование параметра β" title="" id="35" name="Picture"/>
            <a:graphic>
              <a:graphicData uri="http://schemas.openxmlformats.org/drawingml/2006/picture">
                <pic:pic>
                  <pic:nvPicPr>
                    <pic:cNvPr descr="../project/plots/beta_sca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Сканирование параметра β</w:t>
      </w:r>
    </w:p>
    <w:bookmarkEnd w:id="37"/>
    <w:p>
      <w:pPr>
        <w:pStyle w:val="BodyText"/>
      </w:pPr>
      <w:r>
        <w:rPr>
          <w:b/>
          <w:bCs/>
        </w:rPr>
        <w:t xml:space="preserve">Выводы:</w:t>
      </w:r>
      <w:r>
        <w:t xml:space="preserve"> </w:t>
      </w:r>
      <w:r>
        <w:t xml:space="preserve">- При β &lt; 0.3 эпидемия не возникает (пик &lt; 5%)</w:t>
      </w:r>
      <w:r>
        <w:t xml:space="preserve"> </w:t>
      </w:r>
      <w:r>
        <w:t xml:space="preserve">- При β = 0.5 пик достигает ~100% населения</w:t>
      </w:r>
      <w:r>
        <w:t xml:space="preserve"> </w:t>
      </w:r>
      <w:r>
        <w:t xml:space="preserve">- Доля умерших растёт пропорционально β</w:t>
      </w:r>
    </w:p>
    <w:bookmarkEnd w:id="38"/>
    <w:bookmarkStart w:id="43" w:name="исследование-порога-эпидемии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Исследование порога эпидемии</w:t>
      </w:r>
    </w:p>
    <w:p>
      <w:pPr>
        <w:pStyle w:val="FirstParagraph"/>
      </w:pPr>
      <w:r>
        <w:t xml:space="preserve">На рис. 3 представлено определение минимального значения β, при котором возникает эпидемия (пик I &gt; 5% популяции).</w:t>
      </w:r>
    </w:p>
    <w:bookmarkStart w:id="42" w:name="fig:threshold"/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3: Порог эпидемии" title="" id="40" name="Picture"/>
            <a:graphic>
              <a:graphicData uri="http://schemas.openxmlformats.org/drawingml/2006/picture">
                <pic:pic>
                  <pic:nvPicPr>
                    <pic:cNvPr descr="../project/plots/threshold_study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Порог эпидемии</w:t>
      </w:r>
    </w:p>
    <w:bookmarkEnd w:id="42"/>
    <w:p>
      <w:pPr>
        <w:pStyle w:val="BodyText"/>
      </w:pPr>
      <w:r>
        <w:rPr>
          <w:b/>
          <w:bCs/>
        </w:rPr>
        <w:t xml:space="preserve">Результаты: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Теоретический порог:</w:t>
      </w:r>
      <w:r>
        <w:t xml:space="preserve"> </w:t>
      </w:r>
      <w:r>
        <w:t xml:space="preserve">β_crit = 0.0714 (R₀ = 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Экспериментальный порог:</w:t>
      </w:r>
      <w:r>
        <w:t xml:space="preserve"> </w:t>
      </w:r>
      <w:r>
        <w:t xml:space="preserve">β_exp ≈ 0.07-0.08</w:t>
      </w:r>
      <w:r>
        <w:t xml:space="preserve"> </w:t>
      </w:r>
      <w:r>
        <w:t xml:space="preserve">- При β &lt; 0.07 эпидемия не возникает</w:t>
      </w:r>
      <w:r>
        <w:t xml:space="preserve"> </w:t>
      </w:r>
      <w:r>
        <w:t xml:space="preserve">- При β = 0.08 уже наблюдается значительный пик (~10%)</w:t>
      </w:r>
    </w:p>
    <w:p>
      <w:pPr>
        <w:pStyle w:val="BodyText"/>
      </w:pPr>
      <w:r>
        <w:t xml:space="preserve">Разница объясняется стохастичностью модели и конечным размером популяции.</w:t>
      </w:r>
    </w:p>
    <w:bookmarkEnd w:id="43"/>
    <w:bookmarkStart w:id="56" w:name="эффект-гетерогенности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Эффект гетерогенности</w:t>
      </w:r>
    </w:p>
    <w:p>
      <w:pPr>
        <w:pStyle w:val="FirstParagraph"/>
      </w:pPr>
      <w:r>
        <w:t xml:space="preserve">На рис. 4 представлено сравнение трёх сценариев с разными значениями β для разных городов: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Город 1</w:t>
            </w:r>
          </w:p>
        </w:tc>
        <w:tc>
          <w:tcPr/>
          <w:p>
            <w:pPr>
              <w:pStyle w:val="Compact"/>
            </w:pPr>
            <w:r>
              <w:t xml:space="preserve">Город 2</w:t>
            </w:r>
          </w:p>
        </w:tc>
        <w:tc>
          <w:tcPr/>
          <w:p>
            <w:pPr>
              <w:pStyle w:val="Compact"/>
            </w:pPr>
            <w:r>
              <w:t xml:space="preserve">Город 3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Одинаковая заразность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Разная заразность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Один высокий очаг</w:t>
            </w:r>
          </w:p>
        </w:tc>
      </w:tr>
    </w:tbl>
    <w:bookmarkStart w:id="47" w:name="fig:heterogeneity1"/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4: Сравнение сценариев" title="" id="45" name="Picture"/>
            <a:graphic>
              <a:graphicData uri="http://schemas.openxmlformats.org/drawingml/2006/picture">
                <pic:pic>
                  <pic:nvPicPr>
                    <pic:cNvPr descr="../project/plots/heterogeneity_Одинаковая_заразность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Сравнение сценариев</w:t>
      </w:r>
    </w:p>
    <w:bookmarkEnd w:id="47"/>
    <w:bookmarkStart w:id="51" w:name="fig:heterogeneity2"/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5: Сравнение сценариев" title="" id="49" name="Picture"/>
            <a:graphic>
              <a:graphicData uri="http://schemas.openxmlformats.org/drawingml/2006/picture">
                <pic:pic>
                  <pic:nvPicPr>
                    <pic:cNvPr descr="../project/plots/heterogeneity_Один_город_с_высокой_заразностью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Сравнение сценариев</w:t>
      </w:r>
    </w:p>
    <w:bookmarkEnd w:id="51"/>
    <w:bookmarkStart w:id="55" w:name="fig:heterogeneity3"/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6: Сравнение сценариев" title="" id="53" name="Picture"/>
            <a:graphic>
              <a:graphicData uri="http://schemas.openxmlformats.org/drawingml/2006/picture">
                <pic:pic>
                  <pic:nvPicPr>
                    <pic:cNvPr descr="../project/plots/heterogeneity_Разная_заразность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Сравнение сценариев</w:t>
      </w:r>
    </w:p>
    <w:bookmarkEnd w:id="55"/>
    <w:p>
      <w:pPr>
        <w:pStyle w:val="BodyText"/>
      </w:pPr>
      <w:r>
        <w:rPr>
          <w:b/>
          <w:bCs/>
        </w:rPr>
        <w:t xml:space="preserve">Выводы:</w:t>
      </w:r>
      <w:r>
        <w:t xml:space="preserve"> </w:t>
      </w:r>
      <w:r>
        <w:t xml:space="preserve">1. При одинаковой заразности эпидемия распространяется равномерно</w:t>
      </w:r>
      <w:r>
        <w:t xml:space="preserve"> </w:t>
      </w:r>
      <w:r>
        <w:t xml:space="preserve">2. Разная заразность приводит к неравномерному распространению</w:t>
      </w:r>
      <w:r>
        <w:t xml:space="preserve"> </w:t>
      </w:r>
      <w:r>
        <w:t xml:space="preserve">3. Города с высокой заразностью становятся основными очагами эпидемии</w:t>
      </w:r>
    </w:p>
    <w:bookmarkEnd w:id="56"/>
    <w:bookmarkStart w:id="65" w:name="влияние-миграции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Влияние миграции</w:t>
      </w:r>
    </w:p>
    <w:p>
      <w:pPr>
        <w:pStyle w:val="FirstParagraph"/>
      </w:pPr>
      <w:r>
        <w:t xml:space="preserve">На рис. 5-6 представлено исследование влияния интенсивности миграции между городами на скорость распространения инфекции.</w:t>
      </w:r>
    </w:p>
    <w:bookmarkStart w:id="60" w:name="fig:migration-time"/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7: Время до пика" title="" id="58" name="Picture"/>
            <a:graphic>
              <a:graphicData uri="http://schemas.openxmlformats.org/drawingml/2006/picture">
                <pic:pic>
                  <pic:nvPicPr>
                    <pic:cNvPr descr="../project/plots/migration_peak_tim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Время до пика</w:t>
      </w:r>
    </w:p>
    <w:bookmarkEnd w:id="60"/>
    <w:bookmarkStart w:id="64" w:name="fig:migration-peak"/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8: Пиковая заболеваемость" title="" id="62" name="Picture"/>
            <a:graphic>
              <a:graphicData uri="http://schemas.openxmlformats.org/drawingml/2006/picture">
                <pic:pic>
                  <pic:nvPicPr>
                    <pic:cNvPr descr="../project/plots/migration_peak_valu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Пиковая заболеваемость</w:t>
      </w:r>
    </w:p>
    <w:bookmarkEnd w:id="64"/>
    <w:p>
      <w:pPr>
        <w:pStyle w:val="BodyText"/>
      </w:pPr>
      <w:r>
        <w:rPr>
          <w:b/>
          <w:bCs/>
        </w:rPr>
        <w:t xml:space="preserve">Результаты:</w:t>
      </w:r>
      <w:r>
        <w:t xml:space="preserve"> </w:t>
      </w:r>
      <w:r>
        <w:t xml:space="preserve">- При отсутствии миграции (intensity=0) инфекция не выходит за пределы первого города</w:t>
      </w:r>
      <w:r>
        <w:t xml:space="preserve"> </w:t>
      </w:r>
      <w:r>
        <w:t xml:space="preserve">- С ростом миграции время до пика уменьшается</w:t>
      </w:r>
      <w:r>
        <w:t xml:space="preserve"> </w:t>
      </w:r>
      <w:r>
        <w:t xml:space="preserve">- Оптимальная интенсивность для быстрого распространения:</w:t>
      </w:r>
      <w:r>
        <w:t xml:space="preserve"> </w:t>
      </w:r>
      <w:r>
        <w:rPr>
          <w:b/>
          <w:bCs/>
        </w:rPr>
        <w:t xml:space="preserve">0.3-0.4</w:t>
      </w:r>
      <w:r>
        <w:t xml:space="preserve"> </w:t>
      </w:r>
      <w:r>
        <w:t xml:space="preserve">- При интенсивности 0.5 время до пика минимально</w:t>
      </w:r>
    </w:p>
    <w:bookmarkEnd w:id="65"/>
    <w:bookmarkStart w:id="70" w:name="карантинные-меры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Карантинные меры</w:t>
      </w:r>
    </w:p>
    <w:p>
      <w:pPr>
        <w:pStyle w:val="FirstParagraph"/>
      </w:pPr>
      <w:r>
        <w:t xml:space="preserve">На рис. 7 представлена оценка эффективности карантина при пороге активации 30% инфицированных в городе.</w:t>
      </w:r>
    </w:p>
    <w:bookmarkStart w:id="69" w:name="fig:quarantine"/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9: Эффективность карантина" title="" id="67" name="Picture"/>
            <a:graphic>
              <a:graphicData uri="http://schemas.openxmlformats.org/drawingml/2006/picture">
                <pic:pic>
                  <pic:nvPicPr>
                    <pic:cNvPr descr="../project/plots/quarantine_effect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Эффективность карантина</w:t>
      </w:r>
    </w:p>
    <w:bookmarkEnd w:id="69"/>
    <w:p>
      <w:pPr>
        <w:pStyle w:val="BodyText"/>
      </w:pPr>
      <w:r>
        <w:rPr>
          <w:b/>
          <w:bCs/>
        </w:rPr>
        <w:t xml:space="preserve">Результаты:</w:t>
      </w:r>
      <w:r>
        <w:t xml:space="preserve"> </w:t>
      </w:r>
      <w:r>
        <w:t xml:space="preserve">- Пик заболеваемости без карантина:</w:t>
      </w:r>
      <w:r>
        <w:t xml:space="preserve"> </w:t>
      </w:r>
      <w:r>
        <w:rPr>
          <w:b/>
          <w:bCs/>
          <w:vertAlign w:val="subscript"/>
        </w:rPr>
        <w:t xml:space="preserve">3000</w:t>
      </w:r>
      <w:r>
        <w:rPr>
          <w:b/>
          <w:b/>
          <w:bCs/>
          <w:bCs/>
          <w:vertAlign w:val="subscript"/>
        </w:rPr>
        <w:t xml:space="preserve"> </w:t>
      </w:r>
      <w:r>
        <w:rPr>
          <w:b/>
          <w:b/>
          <w:bCs/>
          <w:bCs/>
          <w:vertAlign w:val="subscript"/>
        </w:rPr>
        <w:t xml:space="preserve">- Пик заболеваемости с карантином:</w:t>
      </w:r>
      <w:r>
        <w:rPr>
          <w:b/>
          <w:b/>
          <w:bCs/>
          <w:bCs/>
          <w:vertAlign w:val="subscript"/>
        </w:rPr>
        <w:t xml:space="preserve"> </w:t>
      </w:r>
      <w:r>
        <w:rPr>
          <w:b/>
          <w:bCs/>
        </w:rPr>
        <w:t xml:space="preserve">2500</w:t>
      </w:r>
      <w:r>
        <w:t xml:space="preserve"> </w:t>
      </w:r>
      <w:r>
        <w:t xml:space="preserve">- Снижение пика:</w:t>
      </w:r>
      <w:r>
        <w:t xml:space="preserve"> </w:t>
      </w:r>
      <w:r>
        <w:rPr>
          <w:b/>
          <w:bCs/>
        </w:rPr>
        <w:t xml:space="preserve">~17%</w:t>
      </w:r>
    </w:p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Карантинная мера оказалась</w:t>
      </w:r>
      <w:r>
        <w:t xml:space="preserve"> </w:t>
      </w:r>
      <w:r>
        <w:rPr>
          <w:b/>
          <w:bCs/>
        </w:rPr>
        <w:t xml:space="preserve">умеренно эффективной</w:t>
      </w:r>
      <w:r>
        <w:t xml:space="preserve">. Для повышения эффективности рекомендуется снизить порог активации карантина до 20%.</w:t>
      </w:r>
    </w:p>
    <w:bookmarkEnd w:id="70"/>
    <w:bookmarkStart w:id="73" w:name="оптимизация-параметров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Оптимизация параметров</w:t>
      </w:r>
    </w:p>
    <w:bookmarkStart w:id="71" w:name="многокритериальная-оптимизация"/>
    <w:p>
      <w:pPr>
        <w:pStyle w:val="Heading3"/>
      </w:pPr>
      <w:r>
        <w:rPr>
          <w:rStyle w:val="SectionNumber"/>
        </w:rPr>
        <w:t xml:space="preserve">3.8.1</w:t>
      </w:r>
      <w:r>
        <w:tab/>
      </w:r>
      <w:r>
        <w:t xml:space="preserve">Многокритериальная оптимизация</w:t>
      </w:r>
    </w:p>
    <w:p>
      <w:pPr>
        <w:pStyle w:val="FirstParagraph"/>
      </w:pPr>
      <w:r>
        <w:t xml:space="preserve">Поиск параметров, минимизирующих одновременно пиковую заболеваемость и долю умерших.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Оптимальное 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β_und</w:t>
            </w:r>
          </w:p>
        </w:tc>
        <w:tc>
          <w:tcPr/>
          <w:p>
            <w:pPr>
              <w:pStyle w:val="Compact"/>
            </w:pPr>
            <w:r>
              <w:t xml:space="preserve">0.355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выявления</w:t>
            </w:r>
          </w:p>
        </w:tc>
        <w:tc>
          <w:tcPr/>
          <w:p>
            <w:pPr>
              <w:pStyle w:val="Compact"/>
            </w:pPr>
            <w:r>
              <w:t xml:space="preserve">4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Смертность</w:t>
            </w:r>
          </w:p>
        </w:tc>
        <w:tc>
          <w:tcPr/>
          <w:p>
            <w:pPr>
              <w:pStyle w:val="Compact"/>
            </w:pPr>
            <w:r>
              <w:t xml:space="preserve">4.6%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Достигнутые показатели:</w:t>
      </w:r>
      <w:r>
        <w:t xml:space="preserve"> </w:t>
      </w:r>
      <w:r>
        <w:t xml:space="preserve">- Пик заболеваемости:</w:t>
      </w:r>
      <w:r>
        <w:t xml:space="preserve"> </w:t>
      </w:r>
      <w:r>
        <w:rPr>
          <w:b/>
          <w:bCs/>
        </w:rPr>
        <w:t xml:space="preserve">0.04%</w:t>
      </w:r>
      <w:r>
        <w:t xml:space="preserve"> </w:t>
      </w:r>
      <w:r>
        <w:t xml:space="preserve">- Доля умерших:</w:t>
      </w:r>
      <w:r>
        <w:t xml:space="preserve"> </w:t>
      </w:r>
      <w:r>
        <w:rPr>
          <w:b/>
          <w:bCs/>
        </w:rPr>
        <w:t xml:space="preserve">0.0%</w:t>
      </w:r>
    </w:p>
    <w:p>
      <w:pPr>
        <w:pStyle w:val="BodyText"/>
      </w:pPr>
      <w:r>
        <w:t xml:space="preserve">При найденных параметрах эпидемия практически не развивается.</w:t>
      </w:r>
    </w:p>
    <w:bookmarkEnd w:id="71"/>
    <w:bookmarkStart w:id="72" w:name="оптимизация-с-ограничением-пик-30"/>
    <w:p>
      <w:pPr>
        <w:pStyle w:val="Heading3"/>
      </w:pPr>
      <w:r>
        <w:rPr>
          <w:rStyle w:val="SectionNumber"/>
        </w:rPr>
        <w:t xml:space="preserve">3.8.2</w:t>
      </w:r>
      <w:r>
        <w:tab/>
      </w:r>
      <w:r>
        <w:t xml:space="preserve">Оптимизация с ограничением (пик &lt; 30%)</w:t>
      </w:r>
    </w:p>
    <w:p>
      <w:pPr>
        <w:pStyle w:val="FirstParagraph"/>
      </w:pPr>
      <w:r>
        <w:t xml:space="preserve">Поиск параметров, минимизирующих число умерших при сохранении пика заболеваемости ниже 30%.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Оптимальное 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β_und</w:t>
            </w:r>
          </w:p>
        </w:tc>
        <w:tc>
          <w:tcPr/>
          <w:p>
            <w:pPr>
              <w:pStyle w:val="Compact"/>
            </w:pPr>
            <w:r>
              <w:t xml:space="preserve">0.35-0.40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выявления</w:t>
            </w:r>
          </w:p>
        </w:tc>
        <w:tc>
          <w:tcPr/>
          <w:p>
            <w:pPr>
              <w:pStyle w:val="Compact"/>
            </w:pPr>
            <w:r>
              <w:t xml:space="preserve">3-5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Смертность</w:t>
            </w:r>
          </w:p>
        </w:tc>
        <w:tc>
          <w:tcPr/>
          <w:p>
            <w:pPr>
              <w:pStyle w:val="Compact"/>
            </w:pPr>
            <w:r>
              <w:t xml:space="preserve">4-5%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Для сдерживания эпидемии необходимо поддерживать β &lt; 0.4 и обеспечивать раннее выявление заболеваний (3-5 дней).</w:t>
      </w:r>
    </w:p>
    <w:bookmarkEnd w:id="72"/>
    <w:bookmarkEnd w:id="73"/>
    <w:bookmarkEnd w:id="74"/>
    <w:bookmarkStart w:id="7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Базовый эксперимент:</w:t>
      </w:r>
      <w:r>
        <w:t xml:space="preserve"> </w:t>
      </w:r>
      <w:r>
        <w:t xml:space="preserve">При R₀ = 7.0 эпидемия развивается очень быстро,</w:t>
      </w:r>
      <w:r>
        <w:t xml:space="preserve"> </w:t>
      </w:r>
      <w:r>
        <w:t xml:space="preserve">пик достигается на 15-й день, что соответствует теоретическим ожиданиям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Порог эпидемии:</w:t>
      </w:r>
      <w:r>
        <w:t xml:space="preserve"> </w:t>
      </w:r>
      <w:r>
        <w:t xml:space="preserve">Минимальное β ≈ 0.07-0.08, что соответствует</w:t>
      </w:r>
      <w:r>
        <w:t xml:space="preserve"> </w:t>
      </w:r>
      <w:r>
        <w:t xml:space="preserve">теоретическому порогу R₀ = 1. Разница объясняется стохастичностью</w:t>
      </w:r>
      <w:r>
        <w:t xml:space="preserve"> </w:t>
      </w:r>
      <w:r>
        <w:t xml:space="preserve">и конечным размером популяции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Гетерогенность:</w:t>
      </w:r>
      <w:r>
        <w:t xml:space="preserve"> </w:t>
      </w:r>
      <w:r>
        <w:t xml:space="preserve">Разная заразность в разных городах приводит</w:t>
      </w:r>
      <w:r>
        <w:t xml:space="preserve"> </w:t>
      </w:r>
      <w:r>
        <w:t xml:space="preserve">к неравномерному распространению и волновому характеру эпидемии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Миграция:</w:t>
      </w:r>
      <w:r>
        <w:t xml:space="preserve"> </w:t>
      </w:r>
      <w:r>
        <w:t xml:space="preserve">Увеличивает скорость распространения инфекции,</w:t>
      </w:r>
      <w:r>
        <w:t xml:space="preserve"> </w:t>
      </w:r>
      <w:r>
        <w:t xml:space="preserve">оптимальная интенсивность для быстрого распространения составляет 0.3-0.4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Карантин:</w:t>
      </w:r>
      <w:r>
        <w:t xml:space="preserve"> </w:t>
      </w:r>
      <w:r>
        <w:t xml:space="preserve">Эффективно снижает пик заболеваемости (~17%),</w:t>
      </w:r>
      <w:r>
        <w:t xml:space="preserve"> </w:t>
      </w:r>
      <w:r>
        <w:t xml:space="preserve">рекомендуется раннее введение карантина при пороге 20-30%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Найдены параметры для минимизации смертности</w:t>
      </w:r>
      <w:r>
        <w:t xml:space="preserve"> </w:t>
      </w:r>
      <w:r>
        <w:t xml:space="preserve">(β ≈ 0.35-0.40, время выявления 3-4 дня)</w:t>
      </w:r>
    </w:p>
    <w:bookmarkStart w:id="75" w:name="рекомендаци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Рекомендации</w:t>
      </w:r>
    </w:p>
    <w:p>
      <w:pPr>
        <w:pStyle w:val="Compact"/>
        <w:numPr>
          <w:ilvl w:val="0"/>
          <w:numId w:val="1004"/>
        </w:numPr>
      </w:pPr>
      <w:r>
        <w:t xml:space="preserve">Для сдерживания эпидемии необходимо поддерживать β &lt; 0.07 (R₀ &lt; 1)</w:t>
      </w:r>
    </w:p>
    <w:p>
      <w:pPr>
        <w:pStyle w:val="Compact"/>
        <w:numPr>
          <w:ilvl w:val="0"/>
          <w:numId w:val="1004"/>
        </w:numPr>
      </w:pPr>
      <w:r>
        <w:t xml:space="preserve">Раннее выявление заболеваний (3-4 дня) критически важно для контроля эпидемии</w:t>
      </w:r>
    </w:p>
    <w:p>
      <w:pPr>
        <w:pStyle w:val="Compact"/>
        <w:numPr>
          <w:ilvl w:val="0"/>
          <w:numId w:val="1004"/>
        </w:numPr>
      </w:pPr>
      <w:r>
        <w:t xml:space="preserve">Карантинные меры эффективны при пороге активации 20-30%</w:t>
      </w:r>
    </w:p>
    <w:p>
      <w:pPr>
        <w:pStyle w:val="Compact"/>
        <w:numPr>
          <w:ilvl w:val="0"/>
          <w:numId w:val="1004"/>
        </w:numPr>
      </w:pPr>
      <w:r>
        <w:t xml:space="preserve">Комбинация мер (снижение β, раннее выявление, карантин) даёт наилучший результат</w:t>
      </w:r>
    </w:p>
    <w:bookmarkEnd w:id="75"/>
    <w:bookmarkEnd w:id="76"/>
    <w:bookmarkStart w:id="77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5"/>
        </w:numPr>
      </w:pPr>
      <w:r>
        <w:t xml:space="preserve">Kermack W. O., McKendrick A. G. A Contribution to the Mathematical Theory of Epidemics // Proceedings of the Royal Society of London. Series A. — 1927. — Vol. 115, no. 772. — P. 700-721.</w:t>
      </w:r>
    </w:p>
    <w:p>
      <w:pPr>
        <w:pStyle w:val="Compact"/>
        <w:numPr>
          <w:ilvl w:val="0"/>
          <w:numId w:val="1005"/>
        </w:numPr>
      </w:pPr>
      <w:r>
        <w:t xml:space="preserve">Hethcote H. W. The Mathematics of Infectious Diseases // SIAM Review. — 2000. — Vol. 42, no. 4. — P. 599-653.</w:t>
      </w:r>
    </w:p>
    <w:p>
      <w:pPr>
        <w:pStyle w:val="Compact"/>
        <w:numPr>
          <w:ilvl w:val="0"/>
          <w:numId w:val="1005"/>
        </w:numPr>
      </w:pPr>
      <w:r>
        <w:t xml:space="preserve">Datseris G., Vahdati A. R., DuBois T. C. Agents.jl: a performant and feature-full agent-based modeling software of minimal code complexity // SIMULATION. — 2022. — DOI: 10.1177/00375497211068820.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28" Target="media/rId28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Чувакина Мария Владимировна</dc:creator>
  <dc:language>ru-RU</dc:language>
  <cp:keywords/>
  <dcterms:created xsi:type="dcterms:W3CDTF">2026-03-23T10:05:39Z</dcterms:created>
  <dcterms:modified xsi:type="dcterms:W3CDTF">2026-03-23T10:05:39Z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>bib/cite.bib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date">
    <vt:lpwstr>2026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Figure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temTitleDelim">
    <vt:lpwstr>.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Listing</vt:lpwstr>
  </property>
  <property fmtid="{D5CDD505-2E9C-101B-9397-08002B2CF9AE}" pid="39" name="listings">
    <vt:lpwstr>False</vt:lpwstr>
  </property>
  <property fmtid="{D5CDD505-2E9C-101B-9397-08002B2CF9AE}" pid="40" name="lof">
    <vt:lpwstr>True</vt:lpwstr>
  </property>
  <property fmtid="{D5CDD505-2E9C-101B-9397-08002B2CF9AE}" pid="41" name="lofItemTemplate">
    <vt:lpwstr>lofItemTitleilistItemTitleDelimt </vt:lpwstr>
  </property>
  <property fmtid="{D5CDD505-2E9C-101B-9397-08002B2CF9AE}" pid="42" name="lofItemTitle">
    <vt:lpwstr/>
  </property>
  <property fmtid="{D5CDD505-2E9C-101B-9397-08002B2CF9AE}" pid="43" name="lofTitle">
    <vt:lpwstr>List of Figures</vt:lpwstr>
  </property>
  <property fmtid="{D5CDD505-2E9C-101B-9397-08002B2CF9AE}" pid="44" name="lolItemTemplate">
    <vt:lpwstr>lolItemTitleilistItemTitleDelimt </vt:lpwstr>
  </property>
  <property fmtid="{D5CDD505-2E9C-101B-9397-08002B2CF9AE}" pid="45" name="lolItemTitle">
    <vt:lpwstr/>
  </property>
  <property fmtid="{D5CDD505-2E9C-101B-9397-08002B2CF9AE}" pid="46" name="lolTitle">
    <vt:lpwstr>List of Listings</vt:lpwstr>
  </property>
  <property fmtid="{D5CDD505-2E9C-101B-9397-08002B2CF9AE}" pid="47" name="lot">
    <vt:lpwstr>True</vt:lpwstr>
  </property>
  <property fmtid="{D5CDD505-2E9C-101B-9397-08002B2CF9AE}" pid="48" name="lotItemTemplate">
    <vt:lpwstr>lotItemTitleilistItemTitleDelimt </vt:lpwstr>
  </property>
  <property fmtid="{D5CDD505-2E9C-101B-9397-08002B2CF9AE}" pid="49" name="lotItemTitle">
    <vt:lpwstr/>
  </property>
  <property fmtid="{D5CDD505-2E9C-101B-9397-08002B2CF9AE}" pid="50" name="lotTitle">
    <vt:lpwstr>List of Tables</vt:lpwstr>
  </property>
  <property fmtid="{D5CDD505-2E9C-101B-9397-08002B2CF9AE}" pid="51" name="lstLabels">
    <vt:lpwstr>arabic</vt:lpwstr>
  </property>
  <property fmtid="{D5CDD505-2E9C-101B-9397-08002B2CF9AE}" pid="52" name="lstPrefix">
    <vt:lpwstr/>
  </property>
  <property fmtid="{D5CDD505-2E9C-101B-9397-08002B2CF9AE}" pid="53" name="lstPrefixTemplate">
    <vt:lpwstr>p i</vt:lpwstr>
  </property>
  <property fmtid="{D5CDD505-2E9C-101B-9397-08002B2CF9AE}" pid="54" name="nameInLink">
    <vt:lpwstr>False</vt:lpwstr>
  </property>
  <property fmtid="{D5CDD505-2E9C-101B-9397-08002B2CF9AE}" pid="55" name="numberSections">
    <vt:lpwstr>False</vt:lpwstr>
  </property>
  <property fmtid="{D5CDD505-2E9C-101B-9397-08002B2CF9AE}" pid="56" name="pairDelim">
    <vt:lpwstr>, </vt:lpwstr>
  </property>
  <property fmtid="{D5CDD505-2E9C-101B-9397-08002B2CF9AE}" pid="57" name="papersize">
    <vt:lpwstr>a4</vt:lpwstr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secHeaderDelim">
    <vt:lpwstr> </vt:lpwstr>
  </property>
  <property fmtid="{D5CDD505-2E9C-101B-9397-08002B2CF9AE}" pid="62" name="secHeaderTemplate">
    <vt:lpwstr>isecHeaderDelim[n]t</vt:lpwstr>
  </property>
  <property fmtid="{D5CDD505-2E9C-101B-9397-08002B2CF9AE}" pid="63" name="secLabels">
    <vt:lpwstr>arabic</vt:lpwstr>
  </property>
  <property fmtid="{D5CDD505-2E9C-101B-9397-08002B2CF9AE}" pid="64" name="secPrefix">
    <vt:lpwstr/>
  </property>
  <property fmtid="{D5CDD505-2E9C-101B-9397-08002B2CF9AE}" pid="65" name="secPrefixTemplate">
    <vt:lpwstr>p i</vt:lpwstr>
  </property>
  <property fmtid="{D5CDD505-2E9C-101B-9397-08002B2CF9AE}" pid="66" name="sectionsDepth">
    <vt:lpwstr>0</vt:lpwstr>
  </property>
  <property fmtid="{D5CDD505-2E9C-101B-9397-08002B2CF9AE}" pid="67" name="subfigGrid">
    <vt:lpwstr>False</vt:lpwstr>
  </property>
  <property fmtid="{D5CDD505-2E9C-101B-9397-08002B2CF9AE}" pid="68" name="subfigLabels">
    <vt:lpwstr>alpha a</vt:lpwstr>
  </property>
  <property fmtid="{D5CDD505-2E9C-101B-9397-08002B2CF9AE}" pid="69" name="subfigureChildTemplate">
    <vt:lpwstr>i</vt:lpwstr>
  </property>
  <property fmtid="{D5CDD505-2E9C-101B-9397-08002B2CF9AE}" pid="70" name="subfigureRefIndexTemplate">
    <vt:lpwstr>isuf (s)</vt:lpwstr>
  </property>
  <property fmtid="{D5CDD505-2E9C-101B-9397-08002B2CF9AE}" pid="71" name="subfigureTemplate">
    <vt:lpwstr>figureTitle ititleDelim t. ccs</vt:lpwstr>
  </property>
  <property fmtid="{D5CDD505-2E9C-101B-9397-08002B2CF9AE}" pid="72" name="subtitle">
    <vt:lpwstr>Агентное моделирование SIR</vt:lpwstr>
  </property>
  <property fmtid="{D5CDD505-2E9C-101B-9397-08002B2CF9AE}" pid="73" name="tableEqns">
    <vt:lpwstr>False</vt:lpwstr>
  </property>
  <property fmtid="{D5CDD505-2E9C-101B-9397-08002B2CF9AE}" pid="74" name="tableTemplate">
    <vt:lpwstr>tableTitle ititleDelim t</vt:lpwstr>
  </property>
  <property fmtid="{D5CDD505-2E9C-101B-9397-08002B2CF9AE}" pid="75" name="tableTitle">
    <vt:lpwstr>Table</vt:lpwstr>
  </property>
  <property fmtid="{D5CDD505-2E9C-101B-9397-08002B2CF9AE}" pid="76" name="tblLabels">
    <vt:lpwstr>arabic</vt:lpwstr>
  </property>
  <property fmtid="{D5CDD505-2E9C-101B-9397-08002B2CF9AE}" pid="77" name="tblPrefix">
    <vt:lpwstr/>
  </property>
  <property fmtid="{D5CDD505-2E9C-101B-9397-08002B2CF9AE}" pid="78" name="tblPrefixTemplate">
    <vt:lpwstr>p i</vt:lpwstr>
  </property>
  <property fmtid="{D5CDD505-2E9C-101B-9397-08002B2CF9AE}" pid="79" name="titleDelim">
    <vt:lpwstr>:</vt:lpwstr>
  </property>
  <property fmtid="{D5CDD505-2E9C-101B-9397-08002B2CF9AE}" pid="80" name="toc">
    <vt:lpwstr>True</vt:lpwstr>
  </property>
  <property fmtid="{D5CDD505-2E9C-101B-9397-08002B2CF9AE}" pid="81" name="toc-depth">
    <vt:lpwstr>2</vt:lpwstr>
  </property>
  <property fmtid="{D5CDD505-2E9C-101B-9397-08002B2CF9AE}" pid="82" name="toc-title">
    <vt:lpwstr>Содержание</vt:lpwstr>
  </property>
</Properties>
</file>