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Модели SIR и Лотки-Вольтерры</w:t>
      </w:r>
    </w:p>
    <w:p>
      <w:pPr>
        <w:pStyle w:val="Author"/>
      </w:pPr>
      <w:r>
        <w:t xml:space="preserve">Мария Чувакина</w:t>
      </w:r>
    </w:p>
    <w:p>
      <w:pPr>
        <w:pStyle w:val="Date"/>
      </w:pPr>
      <w:r>
        <w:t xml:space="preserve">2026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Исследование динамики эпидемиологического процесса с помощью модели SIR и</w:t>
      </w:r>
      <w:r>
        <w:t xml:space="preserve"> </w:t>
      </w:r>
      <w:r>
        <w:t xml:space="preserve">колебательной динамики в системе «хищник-жертва» с использованием модели</w:t>
      </w:r>
      <w:r>
        <w:t xml:space="preserve"> </w:t>
      </w:r>
      <w:r>
        <w:t xml:space="preserve">Лотки-Вольтерры. Освоение методов решения систем обыкновенных</w:t>
      </w:r>
      <w:r>
        <w:t xml:space="preserve"> </w:t>
      </w:r>
      <w:r>
        <w:t xml:space="preserve">дифференциальных уравнений в Julia, визуализации результатов и</w:t>
      </w:r>
      <w:r>
        <w:t xml:space="preserve"> </w:t>
      </w:r>
      <w:r>
        <w:t xml:space="preserve">параметрического анализа.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для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и провести её анализ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Лотки-Вольтерры и провести её анализ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с использованием Literate.jl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исследование моделей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отчёт Quarto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одель-si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SIR</w:t>
      </w:r>
    </w:p>
    <w:p>
      <w:pPr>
        <w:pStyle w:val="FirstParagraph"/>
      </w:pPr>
      <w:r>
        <w:t xml:space="preserve">Модель SIR описывается системой дифференциальных уравнений</w:t>
      </w:r>
      <w:r>
        <w:t xml:space="preserve"> </w:t>
      </w:r>
      <w:r>
        <w:t xml:space="preserve">(</w:t>
      </w:r>
      <w:r>
        <w:rPr>
          <w:b/>
          <w:bCs/>
        </w:rPr>
        <w:t xml:space="preserve">kermack1927contribution?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восприимчивые к инфекции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заразные больные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выздоровевшие с иммунитетом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контакте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 в день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</w:t>
      </w:r>
    </w:p>
    <w:p>
      <w:pPr>
        <w:pStyle w:val="BodyText"/>
      </w:pPr>
      <w:r>
        <w:t xml:space="preserve">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β</m:t>
              </m:r>
            </m:num>
            <m:den>
              <m:r>
                <m:t>γ</m:t>
              </m:r>
            </m:den>
          </m:f>
        </m:oMath>
      </m:oMathPara>
    </w:p>
    <w:bookmarkEnd w:id="22"/>
    <w:bookmarkStart w:id="23" w:name="модель-лотки-вольтерр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Лотки-Вольтерры</w:t>
      </w:r>
    </w:p>
    <w:p>
      <w:pPr>
        <w:pStyle w:val="FirstParagraph"/>
      </w:pPr>
      <w:r>
        <w:t xml:space="preserve">Модель «хищник-жертва» описывается системой уравнений</w:t>
      </w:r>
      <w:r>
        <w:t xml:space="preserve"> </w:t>
      </w:r>
      <w:r>
        <w:t xml:space="preserve">(</w:t>
      </w:r>
      <w:r>
        <w:rPr>
          <w:b/>
          <w:bCs/>
        </w:rPr>
        <w:t xml:space="preserve">lotka1925elements?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популяция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популяция хищников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 размножения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скорость поедания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конверсии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смертность хищников</w:t>
      </w:r>
    </w:p>
    <w:bookmarkEnd w:id="23"/>
    <w:bookmarkEnd w:id="24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5" w:name="подготовка-проект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проекта</w:t>
      </w:r>
    </w:p>
    <w:p>
      <w:pPr>
        <w:pStyle w:val="FirstParagraph"/>
      </w:pPr>
      <w:r>
        <w:t xml:space="preserve">Был создан проект DrWatson в каталоге</w:t>
      </w:r>
      <w:r>
        <w:t xml:space="preserve"> </w:t>
      </w:r>
      <w:r>
        <w:rPr>
          <w:rStyle w:val="VerbatimChar"/>
        </w:rPr>
        <w:t xml:space="preserve">labs/lab02/project</w:t>
      </w:r>
      <w:r>
        <w:t xml:space="preserve"> </w:t>
      </w:r>
      <w:r>
        <w:t xml:space="preserve">и установлены необходимые пакеты (см.</w:t>
      </w:r>
      <w:r>
        <w:t xml:space="preserve"> </w:t>
      </w:r>
      <w:r>
        <w:t xml:space="preserve">(</w:t>
      </w:r>
      <w:r>
        <w:rPr>
          <w:b/>
          <w:bCs/>
        </w:rPr>
        <w:t xml:space="preserve">tbl-packages?</w:t>
      </w:r>
      <w:r>
        <w:t xml:space="preserve">)</w:t>
      </w:r>
      <w:r>
        <w:t xml:space="preserve">).</w:t>
      </w:r>
    </w:p>
    <w:p>
      <w:pPr>
        <w:pStyle w:val="TableCaption"/>
      </w:pPr>
      <w:r>
        <w:t xml:space="preserve">Установленные пакеты {#tbl-packages}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акеты {#tbl-package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DifferentialEquations</w:t>
            </w:r>
          </w:p>
        </w:tc>
        <w:tc>
          <w:tcPr/>
          <w:p>
            <w:pPr>
              <w:pStyle w:val="Compact"/>
            </w:pPr>
            <w:r>
              <w:t xml:space="preserve">Решение систем ОДУ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Plots, StatsPlots</w:t>
            </w:r>
          </w:p>
        </w:tc>
        <w:tc>
          <w:tcPr/>
          <w:p>
            <w:pPr>
              <w:pStyle w:val="Compact"/>
            </w:pPr>
            <w:r>
              <w:t xml:space="preserve">Визуализация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DataFrames</w:t>
            </w:r>
          </w:p>
        </w:tc>
        <w:tc>
          <w:tcPr/>
          <w:p>
            <w:pPr>
              <w:pStyle w:val="Compact"/>
            </w:pPr>
            <w:r>
              <w:t xml:space="preserve">Работа с данными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Literate</w:t>
            </w:r>
          </w:p>
        </w:tc>
        <w:tc>
          <w:tcPr/>
          <w:p>
            <w:pPr>
              <w:pStyle w:val="Compact"/>
            </w:pPr>
            <w:r>
              <w:t xml:space="preserve">Литературное программирование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DrWatson</w:t>
            </w:r>
          </w:p>
        </w:tc>
        <w:tc>
          <w:tcPr/>
          <w:p>
            <w:pPr>
              <w:pStyle w:val="Compact"/>
            </w:pPr>
            <w:r>
              <w:t xml:space="preserve">Организация проекта</w:t>
            </w:r>
          </w:p>
        </w:tc>
      </w:tr>
    </w:tbl>
    <w:bookmarkEnd w:id="25"/>
    <w:bookmarkStart w:id="30" w:name="реализация-модели-si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модели SIR</w:t>
      </w:r>
    </w:p>
    <w:p>
      <w:pPr>
        <w:pStyle w:val="FirstParagraph"/>
      </w:pPr>
      <w:r>
        <w:t xml:space="preserve">Код модели был реализован в литературном стиле в файле</w:t>
      </w:r>
      <w:r>
        <w:t xml:space="preserve"> </w:t>
      </w:r>
      <w:r>
        <w:rPr>
          <w:rStyle w:val="VerbatimChar"/>
        </w:rPr>
        <w:t xml:space="preserve">scripts/sir_literate.jl</w:t>
      </w:r>
      <w:r>
        <w:t xml:space="preserve">.</w:t>
      </w:r>
      <w:r>
        <w:t xml:space="preserve"> </w:t>
      </w:r>
      <w:r>
        <w:t xml:space="preserve">Результаты моделирования представлены на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fig-sir-main?</w:t>
      </w:r>
      <w:r>
        <w:t xml:space="preserve">)</w:t>
      </w:r>
      <w:r>
        <w:t xml:space="preserve">.</w:t>
      </w:r>
    </w:p>
    <w:bookmarkStart w:id="29" w:name="fig-sir-main"/>
    <w:p>
      <w:pPr>
        <w:pStyle w:val="CaptionedFigure"/>
      </w:pPr>
      <w:r>
        <w:drawing>
          <wp:inline>
            <wp:extent cx="5334000" cy="3333750"/>
            <wp:effectExtent b="0" l="0" r="0" t="0"/>
            <wp:docPr descr="Динамика эпидемии SIR" title="" id="27" name="Picture"/>
            <a:graphic>
              <a:graphicData uri="http://schemas.openxmlformats.org/drawingml/2006/picture">
                <pic:pic>
                  <pic:nvPicPr>
                    <pic:cNvPr descr="plots/sir_literate/sir_mai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эпидемии SIR</w:t>
      </w:r>
    </w:p>
    <w:bookmarkEnd w:id="29"/>
    <w:p>
      <w:pPr>
        <w:pStyle w:val="BodyText"/>
      </w:pPr>
      <w:r>
        <w:t xml:space="preserve">Анализ результатов модели SIR приведён в</w:t>
      </w:r>
      <w:r>
        <w:t xml:space="preserve"> </w:t>
      </w:r>
      <w:r>
        <w:t xml:space="preserve">(</w:t>
      </w:r>
      <w:r>
        <w:rPr>
          <w:b/>
          <w:bCs/>
        </w:rPr>
        <w:t xml:space="preserve">tbl-sir-results?</w:t>
      </w:r>
      <w:r>
        <w:t xml:space="preserve">)</w:t>
      </w:r>
      <w:r>
        <w:t xml:space="preserve">.</w:t>
      </w:r>
    </w:p>
    <w:p>
      <w:pPr>
        <w:pStyle w:val="TableCaption"/>
      </w:pPr>
      <w:r>
        <w:t xml:space="preserve">Результаты модели SIR {#tbl-sir-results}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модели SIR {#tbl-sir-result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 эпидемии (день)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Максимум заражённых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переболело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</w:tbl>
    <w:bookmarkEnd w:id="30"/>
    <w:bookmarkStart w:id="35" w:name="параметрическое-исследование-sir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Параметрическое исследование SIR</w:t>
      </w:r>
    </w:p>
    <w:p>
      <w:pPr>
        <w:pStyle w:val="FirstParagraph"/>
      </w:pPr>
      <w:r>
        <w:t xml:space="preserve">Было проведено исследование влияния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эпидемии</w:t>
      </w:r>
      <w:r>
        <w:t xml:space="preserve"> </w:t>
      </w:r>
      <w:r>
        <w:t xml:space="preserve">(</w:t>
      </w:r>
      <w:r>
        <w:t xml:space="preserve">(рис.</w:t>
      </w:r>
      <w:r>
        <w:t xml:space="preserve"> </w:t>
      </w:r>
      <w:r>
        <w:rPr>
          <w:b/>
          <w:bCs/>
        </w:rPr>
        <w:t xml:space="preserve">fig-sir-beta?</w:t>
      </w:r>
      <w:r>
        <w:t xml:space="preserve">)</w:t>
      </w:r>
      <w:r>
        <w:t xml:space="preserve">).</w:t>
      </w:r>
    </w:p>
    <w:bookmarkStart w:id="34" w:name="fig-sir-beta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β на динамику эпидемии" title="" id="32" name="Picture"/>
            <a:graphic>
              <a:graphicData uri="http://schemas.openxmlformats.org/drawingml/2006/picture">
                <pic:pic>
                  <pic:nvPicPr>
                    <pic:cNvPr descr="plots/sir_parametric/beta_sensitivit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β на динамику эпидемии</w:t>
      </w:r>
    </w:p>
    <w:bookmarkEnd w:id="34"/>
    <w:bookmarkEnd w:id="35"/>
    <w:bookmarkStart w:id="43" w:name="реализация-модели-лотки-вольтерр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Реализация модели Лотки-Вольтерры</w:t>
      </w:r>
    </w:p>
    <w:p>
      <w:pPr>
        <w:pStyle w:val="FirstParagraph"/>
      </w:pPr>
      <w:r>
        <w:t xml:space="preserve">Код модели реализован в файле</w:t>
      </w:r>
      <w:r>
        <w:t xml:space="preserve"> </w:t>
      </w:r>
      <w:r>
        <w:rPr>
          <w:rStyle w:val="VerbatimChar"/>
        </w:rPr>
        <w:t xml:space="preserve">scripts/lv_literate.jl</w:t>
      </w:r>
      <w:r>
        <w:t xml:space="preserve">. Результаты представлены</w:t>
      </w:r>
      <w:r>
        <w:t xml:space="preserve"> </w:t>
      </w:r>
      <w:r>
        <w:t xml:space="preserve">на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fig-lv-dynamics?</w:t>
      </w:r>
      <w:r>
        <w:t xml:space="preserve">)</w:t>
      </w:r>
      <w:r>
        <w:t xml:space="preserve">.</w:t>
      </w:r>
    </w:p>
    <w:bookmarkStart w:id="39" w:name="fig-lv-dynamics"/>
    <w:p>
      <w:pPr>
        <w:pStyle w:val="CaptionedFigure"/>
      </w:pPr>
      <w:r>
        <w:drawing>
          <wp:inline>
            <wp:extent cx="5334000" cy="2963333"/>
            <wp:effectExtent b="0" l="0" r="0" t="0"/>
            <wp:docPr descr="Динамика системы хищник-жертва" title="" id="37" name="Picture"/>
            <a:graphic>
              <a:graphicData uri="http://schemas.openxmlformats.org/drawingml/2006/picture">
                <pic:pic>
                  <pic:nvPicPr>
                    <pic:cNvPr descr="plots/lv_literate/lv_dynamic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системы хищник-жертва</w:t>
      </w:r>
    </w:p>
    <w:bookmarkEnd w:id="39"/>
    <w:p>
      <w:pPr>
        <w:pStyle w:val="BodyText"/>
      </w:pPr>
      <w:r>
        <w:t xml:space="preserve">Фазовый портрет системы показан на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fig-lv-phase?</w:t>
      </w:r>
      <w:r>
        <w:t xml:space="preserve">)</w:t>
      </w:r>
      <w:r>
        <w:t xml:space="preserve">.</w:t>
      </w:r>
    </w:p>
    <w:bookmarkStart w:id="42" w:name="fig-lv-phase"/>
    <w:p>
      <w:pPr>
        <w:pStyle w:val="CaptionedFigure"/>
      </w:pPr>
      <w:r>
        <w:drawing>
          <wp:inline>
            <wp:extent cx="5334000" cy="2963333"/>
            <wp:effectExtent b="0" l="0" r="0" t="0"/>
            <wp:docPr descr="Фазовый портрет" title="" id="40" name="Picture"/>
            <a:graphic>
              <a:graphicData uri="http://schemas.openxmlformats.org/drawingml/2006/picture">
                <pic:pic>
                  <pic:nvPicPr>
                    <pic:cNvPr descr="plots/lv_literate/lv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</w:t>
      </w:r>
    </w:p>
    <w:bookmarkEnd w:id="42"/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2"/>
        </w:numPr>
      </w:pPr>
      <w:r>
        <w:t xml:space="preserve">Были реализованы две классические модели: SIR и Лотки-Вольтерры</w:t>
      </w:r>
    </w:p>
    <w:p>
      <w:pPr>
        <w:pStyle w:val="Compact"/>
        <w:numPr>
          <w:ilvl w:val="0"/>
          <w:numId w:val="1002"/>
        </w:numPr>
      </w:pPr>
      <w:r>
        <w:t xml:space="preserve">Проведён анализ динамики систем при различных параметрах</w:t>
      </w:r>
    </w:p>
    <w:p>
      <w:pPr>
        <w:pStyle w:val="Compact"/>
        <w:numPr>
          <w:ilvl w:val="0"/>
          <w:numId w:val="1002"/>
        </w:numPr>
      </w:pPr>
      <w:r>
        <w:t xml:space="preserve">Освоены методы решения систем ОДУ в Julia</w:t>
      </w:r>
    </w:p>
    <w:p>
      <w:pPr>
        <w:pStyle w:val="Compact"/>
        <w:numPr>
          <w:ilvl w:val="0"/>
          <w:numId w:val="1002"/>
        </w:numPr>
      </w:pPr>
      <w:r>
        <w:t xml:space="preserve">Созданы литературные скрипты с использованием Literate.jl</w:t>
      </w:r>
    </w:p>
    <w:p>
      <w:pPr>
        <w:pStyle w:val="Compact"/>
        <w:numPr>
          <w:ilvl w:val="0"/>
          <w:numId w:val="1002"/>
        </w:numPr>
      </w:pPr>
      <w:r>
        <w:t xml:space="preserve">Подготовлен отчёт в формате Quarto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W. O. Kermack and A. G. McKendrick,</w:t>
      </w:r>
      <w:r>
        <w:t xml:space="preserve"> </w:t>
      </w:r>
      <w:r>
        <w:t xml:space="preserve">“A Contribution to the Mathematical Theory of Epidemics,”</w:t>
      </w:r>
      <w:r>
        <w:t xml:space="preserve"> </w:t>
      </w:r>
      <w:r>
        <w:rPr>
          <w:i/>
          <w:iCs/>
        </w:rPr>
        <w:t xml:space="preserve">Proceedings of the Royal Society of London. Series A, Containing Papers of a Mathematical and Physical Character</w:t>
      </w:r>
      <w:r>
        <w:t xml:space="preserve">, vol. 115, no. 772, pp. 700–721, 1927.</w:t>
      </w:r>
    </w:p>
    <w:p>
      <w:pPr>
        <w:pStyle w:val="BodyText"/>
      </w:pPr>
      <w:r>
        <w:t xml:space="preserve">[2] H. W. Hethcote,</w:t>
      </w:r>
      <w:r>
        <w:t xml:space="preserve"> </w:t>
      </w:r>
      <w:r>
        <w:t xml:space="preserve">“The Mathematics of Infectious Diseases,”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vol. 42, no. 4, pp. 599–653, 2000.</w:t>
      </w:r>
    </w:p>
    <w:p>
      <w:pPr>
        <w:pStyle w:val="BodyText"/>
      </w:pPr>
      <w:r>
        <w:t xml:space="preserve">[3] A. J. Lotka,</w:t>
      </w:r>
      <w:r>
        <w:t xml:space="preserve"> </w:t>
      </w:r>
      <w:r>
        <w:rPr>
          <w:i/>
          <w:iCs/>
        </w:rPr>
        <w:t xml:space="preserve">Elements of Physical Biology</w:t>
      </w:r>
      <w:r>
        <w:t xml:space="preserve">. Baltimore: Williams &amp; Wilkins Company, 1925.</w:t>
      </w:r>
    </w:p>
    <w:p>
      <w:pPr>
        <w:pStyle w:val="BodyText"/>
      </w:pPr>
      <w:r>
        <w:t xml:space="preserve">[4] A. J. Lotka,</w:t>
      </w:r>
      <w:r>
        <w:t xml:space="preserve"> </w:t>
      </w:r>
      <w:r>
        <w:t xml:space="preserve">“Contribution to the Theory of Periodic Reaction,”</w:t>
      </w:r>
      <w:r>
        <w:t xml:space="preserve"> </w:t>
      </w:r>
      <w:r>
        <w:rPr>
          <w:i/>
          <w:iCs/>
        </w:rPr>
        <w:t xml:space="preserve">The Journal of Physical Chemistry A</w:t>
      </w:r>
      <w:r>
        <w:t xml:space="preserve">, vol. 14, no. 3, pp. 271–274, 1910.</w:t>
      </w:r>
    </w:p>
    <w:p>
      <w:pPr>
        <w:pStyle w:val="BodyText"/>
      </w:pPr>
      <w:r>
        <w:t xml:space="preserve">[5] V. Volterra,</w:t>
      </w:r>
      <w:r>
        <w:t xml:space="preserve"> </w:t>
      </w:r>
      <w:r>
        <w:t xml:space="preserve">“Variations and fluctuations of the number of individuals in animal species living together,”</w:t>
      </w:r>
      <w:r>
        <w:t xml:space="preserve"> </w:t>
      </w:r>
      <w:r>
        <w:rPr>
          <w:i/>
          <w:iCs/>
        </w:rPr>
        <w:t xml:space="preserve">Journal du Conseil permanent International pour l’ Exploration de la Mer</w:t>
      </w:r>
      <w:r>
        <w:t xml:space="preserve">, vol. 3, no. 1, pp. 3–51, 1928.</w:t>
      </w:r>
    </w:p>
    <w:p>
      <w:pPr>
        <w:pStyle w:val="BodyText"/>
      </w:pPr>
      <w:r>
        <w:t xml:space="preserve">[6] B. Вольтерра,</w:t>
      </w:r>
      <w:r>
        <w:t xml:space="preserve"> </w:t>
      </w:r>
      <w:r>
        <w:rPr>
          <w:i/>
          <w:iCs/>
        </w:rPr>
        <w:t xml:space="preserve">Математическая теория борьбы за существование</w:t>
      </w:r>
      <w:r>
        <w:t xml:space="preserve">. Москва: Наука, 1976.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Мария Чувакина</dc:creator>
  <cp:keywords/>
  <dcterms:created xsi:type="dcterms:W3CDTF">2026-03-03T08:59:13Z</dcterms:created>
  <dcterms:modified xsi:type="dcterms:W3CDTF">2026-03-03T08:59:13Z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bib/cite.bib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>2026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format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subtitle">
    <vt:lpwstr>Модели SIR и Лотки-Вольтерры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