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3AD6" w14:textId="29FC5CB8" w:rsidR="00817FD1" w:rsidRPr="00A95EA0" w:rsidRDefault="00A95EA0">
      <w:pPr>
        <w:rPr>
          <w:u w:val="single"/>
        </w:rPr>
      </w:pPr>
      <w:r w:rsidRPr="00A95EA0">
        <w:rPr>
          <w:u w:val="single"/>
        </w:rPr>
        <w:t>References</w:t>
      </w:r>
    </w:p>
    <w:p w14:paraId="0E035BD8" w14:textId="77777777" w:rsidR="00817FD1" w:rsidRDefault="00817FD1"/>
    <w:p w14:paraId="59C2E96B" w14:textId="77777777" w:rsidR="00817FD1" w:rsidRPr="00817FD1" w:rsidRDefault="00817FD1" w:rsidP="00817FD1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817FD1">
        <w:t>1.</w:t>
      </w:r>
      <w:r w:rsidRPr="00817FD1">
        <w:tab/>
        <w:t xml:space="preserve">Sanguankiattichai, N., et al., </w:t>
      </w:r>
      <w:r w:rsidRPr="00817FD1">
        <w:rPr>
          <w:i/>
        </w:rPr>
        <w:t>Bacterial pathogen deploys the iminosugar glycosyrin to manipulate plant glycobiology.</w:t>
      </w:r>
      <w:r w:rsidRPr="00817FD1">
        <w:t xml:space="preserve"> Science, 2025. </w:t>
      </w:r>
      <w:r w:rsidRPr="00817FD1">
        <w:rPr>
          <w:b/>
        </w:rPr>
        <w:t>388</w:t>
      </w:r>
      <w:r w:rsidRPr="00817FD1">
        <w:t>(6744): p. 297-303.</w:t>
      </w:r>
    </w:p>
    <w:p w14:paraId="78C3DA4F" w14:textId="77777777" w:rsidR="00817FD1" w:rsidRPr="00817FD1" w:rsidRDefault="00817FD1" w:rsidP="00817FD1">
      <w:pPr>
        <w:pStyle w:val="EndNoteBibliography"/>
        <w:spacing w:after="0"/>
        <w:ind w:left="720" w:hanging="720"/>
      </w:pPr>
      <w:r w:rsidRPr="00817FD1">
        <w:t>2.</w:t>
      </w:r>
      <w:r w:rsidRPr="00817FD1">
        <w:tab/>
        <w:t xml:space="preserve">Schroeder, F.C., </w:t>
      </w:r>
      <w:r w:rsidRPr="00817FD1">
        <w:rPr>
          <w:i/>
        </w:rPr>
        <w:t>How bacteria subvert plant immunity.</w:t>
      </w:r>
      <w:r w:rsidRPr="00817FD1">
        <w:t xml:space="preserve"> Science, 2025. </w:t>
      </w:r>
      <w:r w:rsidRPr="00817FD1">
        <w:rPr>
          <w:b/>
        </w:rPr>
        <w:t>388</w:t>
      </w:r>
      <w:r w:rsidRPr="00817FD1">
        <w:t>(6744): p. 252-253.</w:t>
      </w:r>
    </w:p>
    <w:p w14:paraId="591B6685" w14:textId="77777777" w:rsidR="00817FD1" w:rsidRPr="00817FD1" w:rsidRDefault="00817FD1" w:rsidP="00817FD1">
      <w:pPr>
        <w:pStyle w:val="EndNoteBibliography"/>
        <w:ind w:left="720" w:hanging="720"/>
      </w:pPr>
      <w:r w:rsidRPr="00817FD1">
        <w:t>3.</w:t>
      </w:r>
      <w:r w:rsidRPr="00817FD1">
        <w:tab/>
        <w:t xml:space="preserve">Buscaill, P., et al., </w:t>
      </w:r>
      <w:r w:rsidRPr="00817FD1">
        <w:rPr>
          <w:i/>
        </w:rPr>
        <w:t>Glycosidase and glycan polymorphism control hydrolytic release of immunogenic flagellin peptides.</w:t>
      </w:r>
      <w:r w:rsidRPr="00817FD1">
        <w:t xml:space="preserve"> Science, 2019. </w:t>
      </w:r>
      <w:r w:rsidRPr="00817FD1">
        <w:rPr>
          <w:b/>
        </w:rPr>
        <w:t>364</w:t>
      </w:r>
      <w:r w:rsidRPr="00817FD1">
        <w:t>(6436): p. eaav0748.</w:t>
      </w:r>
    </w:p>
    <w:p w14:paraId="291251D7" w14:textId="2F0B21C6" w:rsidR="003E6BB3" w:rsidRDefault="00817FD1">
      <w:r>
        <w:fldChar w:fldCharType="end"/>
      </w:r>
    </w:p>
    <w:p w14:paraId="3DDA9D2A" w14:textId="7DE4BE91" w:rsidR="00A95EA0" w:rsidRPr="00374581" w:rsidRDefault="00A95EA0">
      <w:pPr>
        <w:rPr>
          <w:u w:val="single"/>
        </w:rPr>
      </w:pPr>
      <w:r w:rsidRPr="00374581">
        <w:rPr>
          <w:u w:val="single"/>
        </w:rPr>
        <w:t>Acknowledgements</w:t>
      </w:r>
    </w:p>
    <w:p w14:paraId="33CE2E83" w14:textId="19112CF4" w:rsidR="00A95EA0" w:rsidRDefault="00A95EA0">
      <w:r>
        <w:t xml:space="preserve">Thank you to </w:t>
      </w:r>
      <w:proofErr w:type="spellStart"/>
      <w:r>
        <w:t>Tianrun</w:t>
      </w:r>
      <w:proofErr w:type="spellEnd"/>
      <w:r>
        <w:t xml:space="preserve"> Jerry Li</w:t>
      </w:r>
      <w:r w:rsidR="00374581">
        <w:t xml:space="preserve">, Victoria Armer and Renier van der Hoorn for their assistance with this project. </w:t>
      </w:r>
    </w:p>
    <w:sectPr w:rsidR="00A9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32E4A"/>
    <w:multiLevelType w:val="hybridMultilevel"/>
    <w:tmpl w:val="BC6283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72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daw9a52ywez9re9swd509v9sf92r0xx5vd2&quot;&gt;My EndNote Library&lt;record-ids&gt;&lt;item&gt;306&lt;/item&gt;&lt;item&gt;309&lt;/item&gt;&lt;item&gt;317&lt;/item&gt;&lt;/record-ids&gt;&lt;/item&gt;&lt;/Libraries&gt;"/>
  </w:docVars>
  <w:rsids>
    <w:rsidRoot w:val="00817FD1"/>
    <w:rsid w:val="000D4B62"/>
    <w:rsid w:val="00135A68"/>
    <w:rsid w:val="00374581"/>
    <w:rsid w:val="003E6BB3"/>
    <w:rsid w:val="004A726A"/>
    <w:rsid w:val="00532367"/>
    <w:rsid w:val="00691E98"/>
    <w:rsid w:val="00771B83"/>
    <w:rsid w:val="00817FD1"/>
    <w:rsid w:val="00942006"/>
    <w:rsid w:val="00A95EA0"/>
    <w:rsid w:val="00AA178F"/>
    <w:rsid w:val="00B35679"/>
    <w:rsid w:val="00C72BE7"/>
    <w:rsid w:val="00DA6DD9"/>
    <w:rsid w:val="00E5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602B"/>
  <w15:chartTrackingRefBased/>
  <w15:docId w15:val="{3A4C7EDC-BDAE-4627-9D98-DE7E8A8C7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D1"/>
    <w:rPr>
      <w:b/>
      <w:bCs/>
      <w:smallCaps/>
      <w:color w:val="2F5496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817FD1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817FD1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817FD1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817FD1"/>
    <w:rPr>
      <w:rFonts w:ascii="Calibri" w:hAnsi="Calibri" w:cs="Calibr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817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Marlena Van der ploeg</dc:creator>
  <cp:keywords/>
  <dc:description/>
  <cp:lastModifiedBy>Marlena Van der ploeg</cp:lastModifiedBy>
  <cp:revision>3</cp:revision>
  <dcterms:created xsi:type="dcterms:W3CDTF">2026-05-31T10:04:00Z</dcterms:created>
  <dcterms:modified xsi:type="dcterms:W3CDTF">2026-06-02T12:16:00Z</dcterms:modified>
</cp:coreProperties>
</file>