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SRLDC/C&amp;M/I-415/2019-20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29.11.2019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srtftyytg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scfg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11.11.2019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srtftyytg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12450.0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Twelve Thousand, Four Hundred And Fifty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18.11.2019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. Topo Mapping &amp; Engg.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Universal Surveys and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1000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One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M.Nagendrakumar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DGM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srtftyytg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&amp;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