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SRLDC/C&amp;M/I-429/2019-20</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Delivery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hfghdf dfhghd fdgh dfg dhfgh gfhdfgdh ghf dghd ghgh6yrtty gdf gdfg</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35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SRLDC/C&amp;M/I-429/2019-20</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hfghdf dfhghd fdgh dfg dhfgh gfhdfgdh ghf dghd ghgh6yrtty gdf gdfg</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hfghdf dfhghd fdgh dfg dhfgh gfhdfgdh ghf dghd ghgh6yrtty gdf gdfg</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hfghdf dfhghd fdgh dfg dhfgh gfhdfgdh ghf dghd ghgh6yrtty gdf gdfg</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hfghdf dfhghd fdgh dfg dhfgh gfhdfgdh ghf dghd ghgh6yrtty gdf gdfg</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Deputy Manager, Protection</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Delivery</w:t>
      </w:r>
      <w:r w:rsidR="007175CE" w:rsidRPr="0050384E">
        <w:rPr>
          <w:b/>
        </w:rPr>
        <w:t xml:space="preserve"> Period</w:t>
      </w:r>
      <w:r w:rsidR="007175CE">
        <w:rPr>
          <w:b/>
        </w:rPr>
        <w:t xml:space="preserve">: </w:t>
      </w:r>
      <w:r w:rsidR="007175CE">
        <w:t xml:space="preserve">The work shall be completed within </w:t>
      </w:r>
      <w:r w:rsidR="00B14D8D">
        <w:t>35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