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fhgdfhd dghdf dgfhdf hdfghdf ghgf</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SRLDC/C&amp;M/ET-12/I-456/2019-20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SRLDC/C&amp;M/ET-12/I-456/2019-20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fhgdfhd dghdf dgfhdf hdfghdf ghgf</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fhgdfhd dghdf dgfhdf hdfghdf ghgf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Enginner InCharge</w:t>
      </w:r>
      <w:r w:rsidR="000B0A65" w:rsidRPr="00A95AEE">
        <w:rPr>
          <w:rFonts w:ascii="Arial"/>
          <w:b/>
        </w:rPr>
        <w:t xml:space="preserve">: </w:t>
      </w:r>
      <w:r w:rsidR="006D7579" w:rsidRPr="00A95AEE">
        <w:rPr>
          <w:rFonts w:ascii="Arial"/>
          <w:b/>
        </w:rPr>
        <w:t xml:space="preserve"> </w:t>
      </w:r>
      <w:r w:rsidR="00E011A8">
        <w:rPr>
          <w:rFonts w:ascii="Arial"/>
          <w:b/>
        </w:rPr>
        <w:t>Deputy General Manager, SCADA and REMC</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Enginner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Manager, SCADA and REMC</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3000</w:t>
      </w:r>
      <w:r w:rsidRPr="00A95AEE">
        <w:rPr>
          <w:rFonts w:ascii="Arial"/>
          <w:b/>
        </w:rPr>
        <w:t xml:space="preserve">/- (Rupees </w:t>
      </w:r>
      <w:r w:rsidR="00E011A8">
        <w:rPr>
          <w:rFonts w:ascii="Arial"/>
          <w:b/>
        </w:rPr>
        <w:t>Three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SRLDC/C&amp;M/ET-12/I-456/2019-20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Goods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Empanelment</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Fleet Management</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180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Enginner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Deputy General Manager, SCADA and REMC</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Enginner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180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fhgdfhd dghdf dgfhdf hdfghdf ghgf</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SRLDC/C&amp;M/ET-12/I-456/2019-20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fhgdfhd dghdf dgfhdf hdfghdf ghgf</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fhgdfhd dghdf dgfhdf hdfghdf ghgf</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SRLDC/C&amp;M/ET-12/I-456/2019-20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fhgdfhd dghdf dgfhdf hdfghdf ghgf</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SRLDC/C&amp;M/ET-12/I-456/2019-20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fhgdfhd dghdf dgfhdf hdfghdf ghgf</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SRLDC/C&amp;M/ET-12/I-456/2019-20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fhgdfhd dghdf dgfhdf hdfghdf ghgf</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SRLDC/C&amp;M/ET-12/I-456/2019-20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fhgdfhd dghdf dgfhdf hdfghdf ghgf</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SRLDC/C&amp;M/ET-12/I-456/2019-20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fhgdfhd dghdf dgfhdf hdfghdf ghgf</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SRLDC/C&amp;M/ET-12/I-456/2019-20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fhgdfhd dghdf dgfhdf hdfghdf ghgf</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SRLDC/C&amp;M/ET-12/I-456/2019-20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fhgdfhd dghdf dgfhdf hdfghdf ghgf</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SRLDC/C&amp;M/ET-12/I-456/2019-20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fhgdfhd dghdf dgfhdf hdfghdf ghgf</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SRLDC/C&amp;M/ET-12/I-456/2019-20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fhgdfhd dghdf dgfhdf hdfghdf ghgf</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SRLDC/C&amp;M/ET-12/I-456/2019-20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