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3.43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fgjf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fgjf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3.65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fgjf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2.28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fgjf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1.83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