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SRLDC/C&amp;M/I-478/2019-20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28.11.2019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dfsbdbfsndbfmsd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dfsfdsf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04.11.2019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dfsbdbfsndbfmsd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125469.0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Five Thousand, Four Hundred And Sixty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11.11.2019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Digital Land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Universal Surveys and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3 .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&amp;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dfsbdbfsndbfmsd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