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dfsjffhjdhsf dsahfjdhasf dasfhadjhf kahsdfjhasd fjaksdhf ajsdhf adsjhfa sdhfjkadhs ldfkjahsdfkjlhasdkjf hasdjkhfajksd hfjakds</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SRLDC/C&amp;M/ET-526/I-489/2019-20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SRLDC/C&amp;M/ET-526/I-489/2019-20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dfsjffhjdhsf dsahfjdhasf dasfhadjhf kahsdfjhasd fjaksdhf ajsdhf adsjhfa sdhfjkadhs ldfkjahsdfkjlhasdkjf hasdjkhfajksd hfjakds</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dfsjffhjdhsf dsahfjdhasf dasfhadjhf kahsdfjhasd fjaksdhf ajsdhf adsjhfa sdhfjkadhs ldfkjahsdfkjlhasdkjf hasdjkhfajksd hfjakds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Manager, SL-II</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SL-II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10000</w:t>
      </w:r>
      <w:r w:rsidRPr="00A95AEE">
        <w:rPr>
          <w:rFonts w:ascii="Arial"/>
          <w:b/>
        </w:rPr>
        <w:t xml:space="preserve">/- (Rupees </w:t>
      </w:r>
      <w:r w:rsidR="00E011A8">
        <w:rPr>
          <w:rFonts w:ascii="Arial"/>
          <w:b/>
        </w:rPr>
        <w:t>Ten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SRLDC/C&amp;M/ET-526/I-489/2019-20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Service</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Computer System</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90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Manager, SL-II</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90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dfsjffhjdhsf dsahfjdhasf dasfhadjhf kahsdfjhasd fjaksdhf ajsdhf adsjhfa sdhfjkadhs ldfkjahsdfkjlhasdkjf hasdjkhfajksd hfjakds</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SRLDC/C&amp;M/ET-526/I-489/2019-20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dfsjffhjdhsf dsahfjdhasf dasfhadjhf kahsdfjhasd fjaksdhf ajsdhf adsjhfa sdhfjkadhs ldfkjahsdfkjlhasdkjf hasdjkhfajksd hfjakds</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dfsjffhjdhsf dsahfjdhasf dasfhadjhf kahsdfjhasd fjaksdhf ajsdhf adsjhfa sdhfjkadhs ldfkjahsdfkjlhasdkjf hasdjkhfajksd hfjakds</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dfsjffhjdhsf dsahfjdhasf dasfhadjhf kahsdfjhasd fjaksdhf ajsdhf adsjhfa sdhfjkadhs ldfkjahsdfkjlhasdkjf hasdjkhfajksd hfjakds</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dfsjffhjdhsf dsahfjdhasf dasfhadjhf kahsdfjhasd fjaksdhf ajsdhf adsjhfa sdhfjkadhs ldfkjahsdfkjlhasdkjf hasdjkhfajksd hfjakds</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dfsjffhjdhsf dsahfjdhasf dasfhadjhf kahsdfjhasd fjaksdhf ajsdhf adsjhfa sdhfjkadhs ldfkjahsdfkjlhasdkjf hasdjkhfajksd hfjakds</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dfsjffhjdhsf dsahfjdhasf dasfhadjhf kahsdfjhasd fjaksdhf ajsdhf adsjhfa sdhfjkadhs ldfkjahsdfkjlhasdkjf hasdjkhfajksd hfjakds</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SRLDC/C&amp;M/ET-526/I-489/2019-20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