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1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SRLDC/C&amp;M/ET-526/I-489/2019-20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16.01.2020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dfsjffhjdhsf dsahfjdhasf dasfhadjhf kahsdfjhasd fjaksdhf ajsdhf adsjhfa sdhfjkadhs ldfkjahsdfkjlhasdkjf hasdjkhfajksd hfjakds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27.01.2020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23.01.2020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Manjunath GR</w:t>
      </w:r>
    </w:p>
    <w:p w:rsidR="006A224D" w:rsidRDefault="00700AB6" w:rsidP="004624C1">
      <w:pPr>
        <w:pStyle w:val="BodyText"/>
        <w:jc w:val="right"/>
      </w:pPr>
      <w:r>
        <w:t>Chief Manager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