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SRLDC/C&amp;M/I-566/2019-20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</w:t>
      </w:r>
      <w:proofErr w:type="spellStart"/>
      <w:proofErr w:type="gramStart"/>
      <w:r w:rsidR="00E1129D" w:rsidRPr="00040516">
        <w:rPr>
          <w:b/>
          <w:sz w:val="22"/>
          <w:szCs w:val="22"/>
        </w:rPr>
        <w:t>Dt</w:t>
      </w:r>
      <w:proofErr w:type="spellEnd"/>
      <w:proofErr w:type="gramEnd"/>
      <w:r w:rsidR="00E1129D" w:rsidRPr="00040516">
        <w:rPr>
          <w:b/>
          <w:sz w:val="22"/>
          <w:szCs w:val="22"/>
        </w:rPr>
        <w:t xml:space="preserve">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Procurement of Stationery for SRLDC,  POSOCO, Bangalore</w:t>
      </w:r>
      <w:r>
        <w:rPr>
          <w:b/>
          <w:sz w:val="26"/>
          <w:szCs w:val="26"/>
        </w:rPr>
        <w:t>–</w:t>
      </w:r>
      <w:proofErr w:type="gramEnd"/>
      <w:r>
        <w:rPr>
          <w:b/>
          <w:sz w:val="26"/>
          <w:szCs w:val="26"/>
        </w:rPr>
        <w:t xml:space="preserve">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SRLDC/C&amp;M/I-566/2019-20</w:t>
      </w:r>
      <w:r w:rsidRPr="00363D6D">
        <w:t xml:space="preserve"> dated </w:t>
      </w:r>
      <w:r w:rsidR="00255D0A">
        <w:t>08.11.2019</w:t>
      </w:r>
      <w:r w:rsidRPr="00363D6D">
        <w:t xml:space="preserve"> for </w:t>
      </w:r>
      <w:r w:rsidR="003C2E3E">
        <w:rPr>
          <w:rFonts w:cs="Calibri"/>
          <w:bCs/>
        </w:rPr>
        <w:t>Procurement of Stationery for SRLDC,  POSOCO, Bangalore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</w:t>
      </w:r>
      <w:proofErr w:type="spellStart"/>
      <w:r w:rsidRPr="00363D6D">
        <w:t>Rs</w:t>
      </w:r>
      <w:proofErr w:type="spellEnd"/>
      <w:r w:rsidRPr="00363D6D">
        <w:t xml:space="preserve">. </w:t>
      </w:r>
      <w:r w:rsidR="008330CA">
        <w:t>326612.0</w:t>
      </w:r>
      <w:r w:rsidRPr="00363D6D">
        <w:t>/- (</w:t>
      </w:r>
      <w:r w:rsidR="00E95E30" w:rsidRPr="00363D6D">
        <w:t xml:space="preserve">Rupees </w:t>
      </w:r>
      <w:r w:rsidR="0001033C">
        <w:t>Three Lakh, Twenty Six Thousand, Six Hundred And Twelve</w:t>
      </w:r>
      <w:r w:rsidR="00E95E30" w:rsidRPr="00363D6D">
        <w:t xml:space="preserve"> </w:t>
      </w:r>
      <w:proofErr w:type="gramStart"/>
      <w:r w:rsidR="00E95E30" w:rsidRPr="00363D6D">
        <w:t>Only</w:t>
      </w:r>
      <w:proofErr w:type="gramEnd"/>
      <w:r w:rsidRPr="00363D6D">
        <w:t xml:space="preserve">) </w:t>
      </w:r>
      <w:r w:rsidR="00BA33AC">
        <w:t>Exclusive of GST</w:t>
      </w:r>
      <w:r w:rsidRPr="00363D6D">
        <w:t xml:space="preserve">. As per approval of competent authority, LTE was sent to </w:t>
      </w:r>
      <w:r w:rsidR="000C7FB9">
        <w:t>12</w:t>
      </w:r>
      <w:r w:rsidRPr="00363D6D">
        <w:t xml:space="preserve"> parties with bid opening on </w:t>
      </w:r>
      <w:r w:rsidR="00ED6D05">
        <w:t>05.12.2019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Ashwini Mani Tripathi</w:t>
      </w:r>
      <w:r>
        <w:t xml:space="preserve">, </w:t>
      </w:r>
      <w:r w:rsidR="00A445E1">
        <w:t>Asst. Manager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Manjunath GR</w:t>
      </w:r>
      <w:r>
        <w:t xml:space="preserve">, </w:t>
      </w:r>
      <w:r w:rsidR="00EF5F8E">
        <w:t>Chief Manager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Medi Praveen Kumar</w:t>
      </w:r>
      <w:r>
        <w:t xml:space="preserve">, </w:t>
      </w:r>
      <w:r w:rsidR="00E9729C">
        <w:t>Asst.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K.Palaniappan, Sr.GM 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M.Nagendrakumar, DGM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Anjana Bajaj,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E1129D" w:rsidRDefault="00E1129D" w:rsidP="00E1129D">
      <w:pPr>
        <w:jc w:val="both"/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proofErr w:type="gramEnd"/>
      <w:r w:rsidR="007119C2">
        <w:t>Three</w:t>
      </w:r>
      <w:r w:rsidR="00771176">
        <w:t xml:space="preserve">) </w:t>
      </w:r>
      <w:proofErr w:type="spellStart"/>
      <w:r w:rsidR="00771176">
        <w:t>Nos</w:t>
      </w:r>
      <w:proofErr w:type="spellEnd"/>
      <w:r w:rsidR="00771176">
        <w:t xml:space="preserve"> bids were received. </w:t>
      </w:r>
      <w:r w:rsidRPr="009D18BB">
        <w:t xml:space="preserve">The Bids were opened on </w:t>
      </w:r>
      <w:r w:rsidR="007119C2">
        <w:t>04.12.2019</w:t>
      </w:r>
      <w:r w:rsidRPr="009D18BB">
        <w:t xml:space="preserve"> @16:00 </w:t>
      </w:r>
      <w:proofErr w:type="spellStart"/>
      <w:r w:rsidRPr="009D18BB">
        <w:t>Hrs</w:t>
      </w:r>
      <w:proofErr w:type="spellEnd"/>
      <w:r w:rsidRPr="009D18BB">
        <w:t xml:space="preserve"> by the Bid opening </w:t>
      </w:r>
      <w:r>
        <w:t xml:space="preserve">committee. Following </w:t>
      </w:r>
      <w:r w:rsidR="00E8250F">
        <w:t xml:space="preserve">parties submitted </w:t>
      </w:r>
      <w:r>
        <w:t>bids on or before bid submission date &amp; time</w:t>
      </w:r>
      <w:r w:rsidRPr="009D18BB">
        <w:t>:</w:t>
      </w:r>
    </w:p>
    <w:p w:rsidR="00134124" w:rsidRDefault="00134124" w:rsidP="00A20E5F"/>
    <w:p w:rsidR="00C65917" w:rsidRDefault="00C65917" w:rsidP="00A20E5F"/>
    <w:p w:rsidR="00C65917" w:rsidRDefault="00C65917" w:rsidP="00A20E5F"/>
    <w:p w:rsidR="00694C48" w:rsidRPr="00BD470B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Archana Traders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NCCFI Ltd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Bhairav Stationers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Default="00694C48" w:rsidP="00A20E5F">
      <w:pPr>
        <w:rPr>
          <w:sz w:val="22"/>
          <w:szCs w:val="22"/>
        </w:rPr>
      </w:pPr>
    </w:p>
    <w:p w:rsidR="00202ED1" w:rsidRDefault="00202ED1" w:rsidP="004C0D0B">
      <w:pPr>
        <w:jc w:val="both"/>
      </w:pPr>
    </w:p>
    <w:p w:rsidR="00202ED1" w:rsidRPr="00202ED1" w:rsidRDefault="004C0D0B" w:rsidP="004C0D0B">
      <w:pPr>
        <w:jc w:val="both"/>
      </w:pPr>
      <w:r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Archana Traders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.269304.0/-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The party did not quote for SlNo.48 in BOQ. And for various other items in the BOQ , there were GST Calculation mistakes in quotation. (Details are mentioned in Annexure-I).The total quote amount that party mentioned is not matching with the price sum of all items.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NCCFI Ltd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.245305.9/-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Qualified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Bhairav Stationers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.209489.0/-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For various  items in the BOQ , there were GST Calculation mistakes in quotation.(Details are mentioned in Annexure-I) The total quote amount that party mentioned is not matching with the price sum of all items.</w:t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Bhairav Stationers</w:t>
      </w:r>
      <w:r w:rsidR="00F1728C" w:rsidRPr="00252FAE">
        <w:t xml:space="preserve"> </w:t>
      </w:r>
      <w:r w:rsidR="00E1129D" w:rsidRPr="00252FAE">
        <w:t xml:space="preserve">who has quoted </w:t>
      </w:r>
      <w:proofErr w:type="spellStart"/>
      <w:r w:rsidR="00E1129D" w:rsidRPr="008D21D6">
        <w:t>Rs</w:t>
      </w:r>
      <w:proofErr w:type="spellEnd"/>
      <w:proofErr w:type="gramStart"/>
      <w:r w:rsidR="00E1129D" w:rsidRPr="008D21D6">
        <w:t>.</w:t>
      </w:r>
      <w:r w:rsidR="00A20E5F">
        <w:t>209489.0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35.86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</w:t>
      </w:r>
      <w:proofErr w:type="spellStart"/>
      <w:r w:rsidR="00E1129D">
        <w:t>Rs</w:t>
      </w:r>
      <w:proofErr w:type="spellEnd"/>
      <w:r w:rsidR="00E1129D">
        <w:t xml:space="preserve"> </w:t>
      </w:r>
      <w:r w:rsidR="00167918">
        <w:t>326612.0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Exclusive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Bhairav Stationers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Procurement of Stationery for SRLDC,  POSOCO, Bangalore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proofErr w:type="spellStart"/>
      <w:r w:rsidR="0095399E">
        <w:rPr>
          <w:b/>
        </w:rPr>
        <w:t>Rs</w:t>
      </w:r>
      <w:proofErr w:type="spellEnd"/>
      <w:r w:rsidR="0095399E">
        <w:rPr>
          <w:b/>
        </w:rPr>
        <w:t>.</w:t>
      </w:r>
      <w:r w:rsidR="00044902">
        <w:rPr>
          <w:b/>
        </w:rPr>
        <w:t>209489.0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Two Lakh, Nine Thousand, Four Hundred And Eighty Nine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proofErr w:type="gramStart"/>
      <w:r w:rsidRPr="009C1878">
        <w:t>Submitted for the kind approval of competent Authority.</w:t>
      </w:r>
      <w:proofErr w:type="gramEnd"/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K.Palaniappan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M.Nagendrakumar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Anjana Bajaj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Chief Manager(C&amp;M)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proofErr w:type="gramStart"/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</w:t>
      </w:r>
      <w:proofErr w:type="gramStart"/>
      <w:r>
        <w:rPr>
          <w:b/>
          <w:u w:val="single"/>
        </w:rPr>
        <w:t>)</w:t>
      </w:r>
      <w:r w:rsidRPr="00252FAE">
        <w:rPr>
          <w:b/>
          <w:u w:val="single"/>
        </w:rPr>
        <w:t xml:space="preserve"> :</w:t>
      </w:r>
      <w:proofErr w:type="gramEnd"/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</w:t>
      </w:r>
      <w:proofErr w:type="gramStart"/>
      <w:r w:rsidR="00E1129D" w:rsidRPr="00252FAE">
        <w:rPr>
          <w:b/>
          <w:u w:val="single"/>
        </w:rPr>
        <w:t>)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8E" w:rsidRDefault="00B8478E" w:rsidP="0092126E">
      <w:r>
        <w:separator/>
      </w:r>
    </w:p>
  </w:endnote>
  <w:endnote w:type="continuationSeparator" w:id="0">
    <w:p w:rsidR="00B8478E" w:rsidRDefault="00B8478E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8E" w:rsidRDefault="00B8478E" w:rsidP="0092126E">
      <w:r>
        <w:separator/>
      </w:r>
    </w:p>
  </w:footnote>
  <w:footnote w:type="continuationSeparator" w:id="0">
    <w:p w:rsidR="00B8478E" w:rsidRDefault="00B8478E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F77233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85-E8B6-4FE2-AAE0-3798D72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12</cp:revision>
  <cp:lastPrinted>2019-08-13T07:47:00Z</cp:lastPrinted>
  <dcterms:created xsi:type="dcterms:W3CDTF">2019-12-11T04:44:00Z</dcterms:created>
  <dcterms:modified xsi:type="dcterms:W3CDTF">2019-12-17T10:29:00Z</dcterms:modified>
</cp:coreProperties>
</file>