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SRLDC/C&amp;M/I-74563/2019-20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dfhgfdfd fdf d</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SRLDC/C&amp;M/I-74563/2019-20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dfhgfdfd fdf d</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dfhgfdfd fdf d</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dfhgfdfd fdf d,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