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SRLDC/C&amp;M/I-786/2019-20</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Delivery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hadfjjasd asdjfhajs dfajsdhfajsd fajsdhfjasdhfj asdfjashdjf</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45 Days</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9957B7" w:rsidRPr="00C42D01" w:rsidRDefault="00C42D01" w:rsidP="00EA40F4">
      <w:pPr>
        <w:numPr>
          <w:ilvl w:val="0"/>
          <w:numId w:val="1"/>
        </w:numPr>
        <w:rPr>
          <w:rFonts w:ascii="Tahoma" w:hAnsi="Tahoma" w:cs="Tahoma"/>
          <w:sz w:val="16"/>
          <w:szCs w:val="16"/>
        </w:rPr>
      </w:pPr>
      <w:r w:rsidRPr="00C42D01">
        <w:rPr>
          <w:rFonts w:ascii="Tahoma" w:hAnsi="Tahoma" w:cs="Tahoma"/>
          <w:sz w:val="20"/>
          <w:szCs w:val="20"/>
        </w:rPr>
        <w:t>Speci</w:t>
      </w:r>
      <w:r>
        <w:rPr>
          <w:rFonts w:ascii="Tahoma" w:hAnsi="Tahoma" w:cs="Tahoma"/>
          <w:sz w:val="20"/>
          <w:szCs w:val="20"/>
        </w:rPr>
        <w:t>al Conditions in Annexure – IV</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SRLDC/C&amp;M/I-786/2019-20</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hadfjjasd asdjfhajs dfajsdhfajsd fajsdhfjasdhfj asdfjashdjf</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hadfjjasd asdjfhajs dfajsdhfajsd fajsdhfjasdhfj asdfjashdjf</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hadfjjasd asdjfhajs dfajsdhfajsd fajsdhfjasdhfj asdfjashdjf</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hadfjjasd asdjfhajs dfajsdhfajsd fajsdhfjasdhfj asdfjashdjf</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Deputy Manager, System Operation</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Delivery</w:t>
      </w:r>
      <w:r w:rsidR="007175CE" w:rsidRPr="0050384E">
        <w:rPr>
          <w:b/>
        </w:rPr>
        <w:t xml:space="preserve"> Period</w:t>
      </w:r>
      <w:r w:rsidR="007175CE">
        <w:rPr>
          <w:b/>
        </w:rPr>
        <w:t xml:space="preserve">: </w:t>
      </w:r>
      <w:r w:rsidR="007175CE">
        <w:t xml:space="preserve">The work shall be completed within </w:t>
      </w:r>
      <w:r w:rsidR="00B14D8D">
        <w:t>45 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
      </w:r>
    </w:p>
    <w:p w:rsidR="00EE4F86" w:rsidRDefault="00EE4F86" w:rsidP="002E455E">
      <w:pPr>
        <w:ind w:left="720" w:hanging="720"/>
        <w:jc w:val="both"/>
        <w:rPr>
          <w:szCs w:val="22"/>
        </w:rPr>
      </w:pPr>
    </w:p>
    <w:p w:rsidR="00EE4F86" w:rsidRDefault="00EE4F86" w:rsidP="00EE4F86">
      <w:pPr>
        <w:ind w:left="720" w:hanging="720"/>
        <w:jc w:val="right"/>
        <w:rPr>
          <w:b/>
          <w:bCs/>
          <w:sz w:val="22"/>
          <w:szCs w:val="22"/>
        </w:rPr>
      </w:pPr>
      <w:r>
        <w:rPr>
          <w:b/>
          <w:bCs/>
          <w:sz w:val="22"/>
          <w:szCs w:val="22"/>
        </w:rPr>
        <w:t>Annexure-IV</w:t>
      </w:r>
    </w:p>
    <w:p w:rsidR="00EE4F86" w:rsidRDefault="00EE4F86" w:rsidP="00EE4F86">
      <w:pPr>
        <w:jc w:val="both"/>
        <w:rPr>
          <w:b/>
          <w:bCs/>
          <w:sz w:val="22"/>
          <w:szCs w:val="22"/>
          <w:u w:val="single"/>
        </w:rPr>
      </w:pPr>
      <w:r>
        <w:rPr>
          <w:b/>
          <w:bCs/>
          <w:sz w:val="22"/>
          <w:szCs w:val="22"/>
          <w:u w:val="single"/>
        </w:rPr>
        <w:t xml:space="preserve">Special Terms and </w:t>
      </w:r>
      <w:r w:rsidRPr="0087304C">
        <w:rPr>
          <w:b/>
          <w:bCs/>
          <w:sz w:val="22"/>
          <w:szCs w:val="22"/>
          <w:u w:val="single"/>
        </w:rPr>
        <w:t>C</w:t>
      </w:r>
      <w:r>
        <w:rPr>
          <w:b/>
          <w:bCs/>
          <w:sz w:val="22"/>
          <w:szCs w:val="22"/>
          <w:u w:val="single"/>
        </w:rPr>
        <w:t xml:space="preserve">onditions </w:t>
      </w:r>
    </w:p>
    <w:p w:rsidR="00EE4F86" w:rsidRDefault="00EE4F86" w:rsidP="002E455E">
      <w:pPr>
        <w:ind w:left="720" w:hanging="720"/>
        <w:jc w:val="both"/>
        <w:rPr>
          <w:szCs w:val="22"/>
        </w:rPr>
      </w:pPr>
    </w:p>
    <w:p w:rsidR="00EE4F86" w:rsidRDefault="00EE4F86" w:rsidP="002E455E">
      <w:pPr>
        <w:ind w:left="720" w:hanging="720"/>
        <w:jc w:val="both"/>
      </w:pPr>
      <w:r>
        <w:rPr>
          <w:szCs w:val="22"/>
        </w:rPr>
        <w:t/>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