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{{ref_no}}</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{{delivery_contract}}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{{subject}}</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w:t>
            </w:r>
            <w:r>
              <w:t xml:space="preserve"> delivery_days</w:t>
            </w:r>
            <w:r>
              <w:rPr>
                <w:rFonts w:ascii="Tahoma" w:hAnsi="Tahoma" w:cs="Tahoma"/>
                <w:sz w:val="20"/>
                <w:szCs w:val="20"/>
              </w:rPr>
              <w:t xml:space="preserve"> }}</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C42D01" w:rsidRPr="009957B7" w:rsidRDefault="00C42D01" w:rsidP="00C42D01">
      <w:pPr>
        <w:ind w:left="360"/>
        <w:rPr>
          <w:rFonts w:ascii="Tahoma" w:hAnsi="Tahoma" w:cs="Tahoma"/>
          <w:sz w:val="16"/>
          <w:szCs w:val="16"/>
        </w:rPr>
      </w:pPr>
      <w:r>
        <w:rPr>
          <w:rFonts w:ascii="Tahoma" w:hAnsi="Tahoma" w:cs="Tahoma"/>
          <w:sz w:val="20"/>
          <w:szCs w:val="20"/>
        </w:rPr>
        <w:t>{%p if special_conditions%}</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C42D01" w:rsidRPr="00AF4A20" w:rsidRDefault="00C42D01" w:rsidP="00C42D01">
      <w:pPr>
        <w:ind w:left="360"/>
        <w:rPr>
          <w:rFonts w:ascii="Tahoma" w:hAnsi="Tahoma" w:cs="Tahoma"/>
          <w:sz w:val="16"/>
          <w:szCs w:val="16"/>
        </w:rPr>
      </w:pPr>
      <w:r>
        <w:rPr>
          <w:rFonts w:ascii="Tahoma" w:hAnsi="Tahoma" w:cs="Tahoma"/>
          <w:sz w:val="16"/>
          <w:szCs w:val="16"/>
        </w:rPr>
        <w:t>{%p endif%}</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{{ref_no}}</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{{subject}}</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{{subject}}</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{{subject}}</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{{subject}}</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{{engineer_incharge}}</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w:t>
      </w:r>
      <w:r w:rsidR="00330DB0" w:rsidRPr="00330DB0">
        <w:rPr>
          <w:b/>
        </w:rPr>
        <w:t>delivery_contract</w:t>
      </w:r>
      <w:r w:rsidR="00330DB0">
        <w:rPr>
          <w:b/>
        </w:rPr>
        <w:t>}}</w:t>
      </w:r>
      <w:r w:rsidR="007175CE" w:rsidRPr="0050384E">
        <w:rPr>
          <w:b/>
        </w:rPr>
        <w:t xml:space="preserve"> Period</w:t>
      </w:r>
      <w:r w:rsidR="007175CE">
        <w:rPr>
          <w:b/>
        </w:rPr>
        <w:t xml:space="preserve">: </w:t>
      </w:r>
      <w:r w:rsidR="007175CE">
        <w:t xml:space="preserve">The work shall be completed within </w:t>
      </w:r>
      <w:r w:rsidR="00B14D8D">
        <w:t>{{delivery_days}}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{%if </w:t>
      </w:r>
      <w:r w:rsidRPr="00EE4F86">
        <w:rPr>
          <w:szCs w:val="22"/>
        </w:rPr>
        <w:t>special_conditions</w:t>
      </w:r>
      <w:r>
        <w:rPr>
          <w:szCs w:val="22"/>
        </w:rPr>
        <w:t>%}</w:t>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{%endif%}</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