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B93E" w14:textId="77777777" w:rsidR="00C673C5" w:rsidRPr="00CC275B" w:rsidRDefault="00495026" w:rsidP="00CC275B">
      <w:pPr>
        <w:rPr>
          <w:rFonts w:ascii="Arial" w:hAnsi="Arial" w:cs="Arial"/>
          <w:b/>
          <w:bCs/>
          <w:sz w:val="24"/>
          <w:szCs w:val="24"/>
        </w:rPr>
      </w:pPr>
      <w:r w:rsidRPr="00CC275B">
        <w:rPr>
          <w:rFonts w:ascii="Arial" w:hAnsi="Arial" w:cs="Arial"/>
          <w:b/>
          <w:bCs/>
          <w:sz w:val="24"/>
          <w:szCs w:val="24"/>
        </w:rPr>
        <w:t>Third-Party Vendor Risk Assessment Project</w:t>
      </w:r>
    </w:p>
    <w:p w14:paraId="60435978" w14:textId="095099BE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  <w:b/>
          <w:bCs/>
          <w:sz w:val="24"/>
          <w:szCs w:val="24"/>
        </w:rPr>
        <w:t>Objective</w:t>
      </w:r>
      <w:r w:rsidRPr="00CC275B">
        <w:rPr>
          <w:rFonts w:ascii="Arial" w:eastAsiaTheme="majorEastAsia" w:hAnsi="Arial" w:cs="Arial"/>
          <w:sz w:val="24"/>
          <w:szCs w:val="24"/>
        </w:rPr>
        <w:br/>
      </w:r>
      <w:r w:rsidRPr="00CC275B">
        <w:rPr>
          <w:rFonts w:ascii="Arial" w:eastAsiaTheme="majorEastAsia" w:hAnsi="Arial" w:cs="Arial"/>
        </w:rPr>
        <w:t>T</w:t>
      </w:r>
      <w:r w:rsidRPr="00CC275B">
        <w:rPr>
          <w:rFonts w:ascii="Arial" w:eastAsiaTheme="majorEastAsia" w:hAnsi="Arial" w:cs="Arial"/>
        </w:rPr>
        <w:t xml:space="preserve">his assessment evaluates the cybersecurity and compliance risk posed by third-party vendors that provide critical services to the organization. </w:t>
      </w:r>
      <w:r w:rsidRPr="00CC275B">
        <w:rPr>
          <w:rFonts w:ascii="Arial" w:eastAsiaTheme="majorEastAsia" w:hAnsi="Arial" w:cs="Arial"/>
        </w:rPr>
        <w:t>The</w:t>
      </w:r>
      <w:r w:rsidRPr="00CC275B">
        <w:rPr>
          <w:rFonts w:ascii="Arial" w:eastAsiaTheme="majorEastAsia" w:hAnsi="Arial" w:cs="Arial"/>
        </w:rPr>
        <w:t xml:space="preserve"> goal is to determine whether vendors maintain adequate security controls to protect sensitive company and customer data. </w:t>
      </w:r>
      <w:r w:rsidRPr="00CC275B">
        <w:rPr>
          <w:rFonts w:ascii="Arial" w:eastAsiaTheme="majorEastAsia" w:hAnsi="Arial" w:cs="Arial"/>
        </w:rPr>
        <w:t>The</w:t>
      </w:r>
      <w:r w:rsidRPr="00CC275B">
        <w:rPr>
          <w:rFonts w:ascii="Arial" w:eastAsiaTheme="majorEastAsia" w:hAnsi="Arial" w:cs="Arial"/>
        </w:rPr>
        <w:t xml:space="preserve"> assessment also ensures vendor security practices align with industry standards such as SOC 2 and ISO 27001.</w:t>
      </w:r>
    </w:p>
    <w:p w14:paraId="12CC3620" w14:textId="0BF17329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  <w:b/>
          <w:bCs/>
          <w:sz w:val="24"/>
          <w:szCs w:val="24"/>
        </w:rPr>
        <w:t>Vendor Inventory</w:t>
      </w:r>
      <w:r w:rsidRPr="00CC275B">
        <w:rPr>
          <w:rFonts w:ascii="Arial" w:eastAsiaTheme="majorEastAsia" w:hAnsi="Arial" w:cs="Arial"/>
          <w:sz w:val="24"/>
          <w:szCs w:val="24"/>
        </w:rPr>
        <w:br/>
      </w:r>
      <w:r w:rsidRPr="00CC275B">
        <w:rPr>
          <w:rFonts w:ascii="Arial" w:eastAsiaTheme="majorEastAsia" w:hAnsi="Arial" w:cs="Arial"/>
        </w:rPr>
        <w:t>A</w:t>
      </w:r>
      <w:r w:rsidRPr="00CC275B">
        <w:rPr>
          <w:rFonts w:ascii="Arial" w:eastAsiaTheme="majorEastAsia" w:hAnsi="Arial" w:cs="Arial"/>
        </w:rPr>
        <w:t>n inventory of key third-party vendors was developed to understand what services vendors provide and what level of access they have to organizational systems and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085"/>
        <w:gridCol w:w="1335"/>
        <w:gridCol w:w="1151"/>
        <w:gridCol w:w="1332"/>
        <w:gridCol w:w="1355"/>
      </w:tblGrid>
      <w:tr w:rsidR="00CC275B" w:rsidRPr="00CC275B" w14:paraId="21D54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521D2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CC275B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Vendor Name</w:t>
            </w:r>
          </w:p>
        </w:tc>
        <w:tc>
          <w:tcPr>
            <w:tcW w:w="0" w:type="auto"/>
            <w:vAlign w:val="center"/>
            <w:hideMark/>
          </w:tcPr>
          <w:p w14:paraId="5A2F57F8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CC275B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Service Provided</w:t>
            </w:r>
          </w:p>
        </w:tc>
        <w:tc>
          <w:tcPr>
            <w:tcW w:w="0" w:type="auto"/>
            <w:vAlign w:val="center"/>
            <w:hideMark/>
          </w:tcPr>
          <w:p w14:paraId="654EA766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CC275B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1578D9E3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CC275B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System Access</w:t>
            </w:r>
          </w:p>
        </w:tc>
        <w:tc>
          <w:tcPr>
            <w:tcW w:w="0" w:type="auto"/>
            <w:vAlign w:val="center"/>
            <w:hideMark/>
          </w:tcPr>
          <w:p w14:paraId="584B872C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CC275B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Criticality Level</w:t>
            </w:r>
          </w:p>
        </w:tc>
        <w:tc>
          <w:tcPr>
            <w:tcW w:w="0" w:type="auto"/>
            <w:vAlign w:val="center"/>
            <w:hideMark/>
          </w:tcPr>
          <w:p w14:paraId="648D752E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CC275B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Business Owner</w:t>
            </w:r>
          </w:p>
        </w:tc>
      </w:tr>
      <w:tr w:rsidR="00CC275B" w:rsidRPr="00CC275B" w14:paraId="49B29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24B3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CloudDocs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68F0A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cloud storage and document management</w:t>
            </w:r>
          </w:p>
        </w:tc>
        <w:tc>
          <w:tcPr>
            <w:tcW w:w="0" w:type="auto"/>
            <w:vAlign w:val="center"/>
            <w:hideMark/>
          </w:tcPr>
          <w:p w14:paraId="4CDA4C52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customer PII</w:t>
            </w:r>
          </w:p>
        </w:tc>
        <w:tc>
          <w:tcPr>
            <w:tcW w:w="0" w:type="auto"/>
            <w:vAlign w:val="center"/>
            <w:hideMark/>
          </w:tcPr>
          <w:p w14:paraId="6DAECFE3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6A1918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51A1A3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IT</w:t>
            </w:r>
          </w:p>
        </w:tc>
      </w:tr>
      <w:tr w:rsidR="00CC275B" w:rsidRPr="00CC275B" w14:paraId="6AB10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811A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PayFlow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69FF5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payment processing platform</w:t>
            </w:r>
          </w:p>
        </w:tc>
        <w:tc>
          <w:tcPr>
            <w:tcW w:w="0" w:type="auto"/>
            <w:vAlign w:val="center"/>
            <w:hideMark/>
          </w:tcPr>
          <w:p w14:paraId="137347DC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financial data</w:t>
            </w:r>
          </w:p>
        </w:tc>
        <w:tc>
          <w:tcPr>
            <w:tcW w:w="0" w:type="auto"/>
            <w:vAlign w:val="center"/>
            <w:hideMark/>
          </w:tcPr>
          <w:p w14:paraId="48986BD5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6DAAF7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C447E5F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finance</w:t>
            </w:r>
          </w:p>
        </w:tc>
      </w:tr>
      <w:tr w:rsidR="00CC275B" w:rsidRPr="00CC275B" w14:paraId="75EB6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6305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HRManage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87F80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HR management SaaS platform</w:t>
            </w:r>
          </w:p>
        </w:tc>
        <w:tc>
          <w:tcPr>
            <w:tcW w:w="0" w:type="auto"/>
            <w:vAlign w:val="center"/>
            <w:hideMark/>
          </w:tcPr>
          <w:p w14:paraId="11C00C52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employee records</w:t>
            </w:r>
          </w:p>
        </w:tc>
        <w:tc>
          <w:tcPr>
            <w:tcW w:w="0" w:type="auto"/>
            <w:vAlign w:val="center"/>
            <w:hideMark/>
          </w:tcPr>
          <w:p w14:paraId="0FA56FD2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BF9072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15585B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human resources</w:t>
            </w:r>
          </w:p>
        </w:tc>
      </w:tr>
      <w:tr w:rsidR="00CC275B" w:rsidRPr="00CC275B" w14:paraId="6EF01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C548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MarketTrack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233CC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marketing analytics platform</w:t>
            </w:r>
          </w:p>
        </w:tc>
        <w:tc>
          <w:tcPr>
            <w:tcW w:w="0" w:type="auto"/>
            <w:vAlign w:val="center"/>
            <w:hideMark/>
          </w:tcPr>
          <w:p w14:paraId="5339EE60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limited marketing data</w:t>
            </w:r>
          </w:p>
        </w:tc>
        <w:tc>
          <w:tcPr>
            <w:tcW w:w="0" w:type="auto"/>
            <w:vAlign w:val="center"/>
            <w:hideMark/>
          </w:tcPr>
          <w:p w14:paraId="707ACDD6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377956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36B5FB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marketing</w:t>
            </w:r>
          </w:p>
        </w:tc>
      </w:tr>
    </w:tbl>
    <w:p w14:paraId="0C3862AE" w14:textId="4C6EAA69" w:rsidR="00CC275B" w:rsidRPr="00CC275B" w:rsidRDefault="00CC275B" w:rsidP="00CC275B">
      <w:pPr>
        <w:rPr>
          <w:rFonts w:ascii="Arial" w:eastAsiaTheme="majorEastAsia" w:hAnsi="Arial" w:cs="Arial"/>
          <w:sz w:val="24"/>
          <w:szCs w:val="24"/>
        </w:rPr>
      </w:pPr>
      <w:r w:rsidRPr="00CC275B">
        <w:rPr>
          <w:rFonts w:ascii="Arial" w:eastAsiaTheme="majorEastAsia" w:hAnsi="Arial" w:cs="Arial"/>
          <w:b/>
          <w:bCs/>
          <w:sz w:val="24"/>
          <w:szCs w:val="24"/>
        </w:rPr>
        <w:t>Vendor Criticality Classification</w:t>
      </w:r>
      <w:r w:rsidRPr="00CC275B">
        <w:rPr>
          <w:rFonts w:ascii="Arial" w:eastAsiaTheme="majorEastAsia" w:hAnsi="Arial" w:cs="Arial"/>
          <w:sz w:val="24"/>
          <w:szCs w:val="24"/>
        </w:rPr>
        <w:br/>
      </w:r>
      <w:r>
        <w:rPr>
          <w:rFonts w:ascii="Arial" w:eastAsiaTheme="majorEastAsia" w:hAnsi="Arial" w:cs="Arial"/>
          <w:sz w:val="24"/>
          <w:szCs w:val="24"/>
        </w:rPr>
        <w:t>V</w:t>
      </w:r>
      <w:r w:rsidRPr="00CC275B">
        <w:rPr>
          <w:rFonts w:ascii="Arial" w:eastAsiaTheme="majorEastAsia" w:hAnsi="Arial" w:cs="Arial"/>
          <w:sz w:val="24"/>
          <w:szCs w:val="24"/>
        </w:rPr>
        <w:t>endors were categorized based on the potential operational and security impact if the vendor experienced a breach or service outage.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7239"/>
      </w:tblGrid>
      <w:tr w:rsidR="00CC275B" w:rsidRPr="00CC275B" w14:paraId="2E183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E68A0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CC275B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1170C3E7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</w:pPr>
            <w:r w:rsidRPr="00CC275B">
              <w:rPr>
                <w:rFonts w:ascii="Arial" w:eastAsiaTheme="majorEastAsia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CC275B" w:rsidRPr="00CC275B" w14:paraId="1B446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D487" w14:textId="77777777" w:rsidR="00CC275B" w:rsidRPr="00CC275B" w:rsidRDefault="00CC275B" w:rsidP="00CC275B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CC275B">
              <w:rPr>
                <w:rFonts w:ascii="Arial" w:eastAsiaTheme="majorEastAsia" w:hAnsi="Arial" w:cs="Arial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5B13B80" w14:textId="3E6BB7FB" w:rsidR="00CC275B" w:rsidRPr="00CC275B" w:rsidRDefault="00CC275B" w:rsidP="00CC275B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V</w:t>
            </w:r>
            <w:r w:rsidRPr="00CC275B">
              <w:rPr>
                <w:rFonts w:ascii="Arial" w:eastAsiaTheme="majorEastAsia" w:hAnsi="Arial" w:cs="Arial"/>
                <w:sz w:val="24"/>
                <w:szCs w:val="24"/>
              </w:rPr>
              <w:t>endor has access to financial systems or payment processing</w:t>
            </w:r>
          </w:p>
        </w:tc>
      </w:tr>
      <w:tr w:rsidR="00CC275B" w:rsidRPr="00CC275B" w14:paraId="5DBD8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E9AE" w14:textId="77777777" w:rsidR="00CC275B" w:rsidRPr="00CC275B" w:rsidRDefault="00CC275B" w:rsidP="00CC275B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CC275B">
              <w:rPr>
                <w:rFonts w:ascii="Arial" w:eastAsiaTheme="majorEastAsia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586F95" w14:textId="0879075C" w:rsidR="00CC275B" w:rsidRPr="00CC275B" w:rsidRDefault="00CC275B" w:rsidP="00CC275B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V</w:t>
            </w:r>
            <w:r w:rsidRPr="00CC275B">
              <w:rPr>
                <w:rFonts w:ascii="Arial" w:eastAsiaTheme="majorEastAsia" w:hAnsi="Arial" w:cs="Arial"/>
                <w:sz w:val="24"/>
                <w:szCs w:val="24"/>
              </w:rPr>
              <w:t>endor handles sensitive customer or employee data</w:t>
            </w:r>
          </w:p>
        </w:tc>
      </w:tr>
      <w:tr w:rsidR="00CC275B" w:rsidRPr="00CC275B" w14:paraId="2C83C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8C60" w14:textId="77777777" w:rsidR="00CC275B" w:rsidRPr="00CC275B" w:rsidRDefault="00CC275B" w:rsidP="00CC275B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CC275B">
              <w:rPr>
                <w:rFonts w:ascii="Arial" w:eastAsiaTheme="majorEastAsia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992095" w14:textId="1D36CAEB" w:rsidR="00CC275B" w:rsidRPr="00CC275B" w:rsidRDefault="00CC275B" w:rsidP="00CC275B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V</w:t>
            </w:r>
            <w:r w:rsidRPr="00CC275B">
              <w:rPr>
                <w:rFonts w:ascii="Arial" w:eastAsiaTheme="majorEastAsia" w:hAnsi="Arial" w:cs="Arial"/>
                <w:sz w:val="24"/>
                <w:szCs w:val="24"/>
              </w:rPr>
              <w:t>endor has limited access to internal systems or non-sensitive data</w:t>
            </w:r>
          </w:p>
        </w:tc>
      </w:tr>
      <w:tr w:rsidR="00CC275B" w:rsidRPr="00CC275B" w14:paraId="239B7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7E13" w14:textId="77777777" w:rsidR="00CC275B" w:rsidRPr="00CC275B" w:rsidRDefault="00CC275B" w:rsidP="00CC275B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 w:rsidRPr="00CC275B">
              <w:rPr>
                <w:rFonts w:ascii="Arial" w:eastAsiaTheme="majorEastAsia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9B9478" w14:textId="32EDA1B1" w:rsidR="00CC275B" w:rsidRPr="00CC275B" w:rsidRDefault="00CC275B" w:rsidP="00CC275B">
            <w:pPr>
              <w:rPr>
                <w:rFonts w:ascii="Arial" w:eastAsiaTheme="majorEastAsia" w:hAnsi="Arial" w:cs="Arial"/>
                <w:sz w:val="24"/>
                <w:szCs w:val="24"/>
              </w:rPr>
            </w:pPr>
            <w:r>
              <w:rPr>
                <w:rFonts w:ascii="Arial" w:eastAsiaTheme="majorEastAsia" w:hAnsi="Arial" w:cs="Arial"/>
                <w:sz w:val="24"/>
                <w:szCs w:val="24"/>
              </w:rPr>
              <w:t>V</w:t>
            </w:r>
            <w:r w:rsidRPr="00CC275B">
              <w:rPr>
                <w:rFonts w:ascii="Arial" w:eastAsiaTheme="majorEastAsia" w:hAnsi="Arial" w:cs="Arial"/>
                <w:sz w:val="24"/>
                <w:szCs w:val="24"/>
              </w:rPr>
              <w:t>endor has no system access and limited data exposure</w:t>
            </w:r>
          </w:p>
        </w:tc>
      </w:tr>
    </w:tbl>
    <w:p w14:paraId="1D91AB9A" w14:textId="5C32FE32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lastRenderedPageBreak/>
        <w:t>Based</w:t>
      </w:r>
      <w:r w:rsidRPr="00CC275B">
        <w:rPr>
          <w:rFonts w:ascii="Arial" w:eastAsiaTheme="majorEastAsia" w:hAnsi="Arial" w:cs="Arial"/>
        </w:rPr>
        <w:t xml:space="preserve"> on this classification, </w:t>
      </w:r>
      <w:proofErr w:type="spellStart"/>
      <w:r w:rsidRPr="00CC275B">
        <w:rPr>
          <w:rFonts w:ascii="Arial" w:eastAsiaTheme="majorEastAsia" w:hAnsi="Arial" w:cs="Arial"/>
        </w:rPr>
        <w:t>PayFlow</w:t>
      </w:r>
      <w:proofErr w:type="spellEnd"/>
      <w:r w:rsidRPr="00CC275B">
        <w:rPr>
          <w:rFonts w:ascii="Arial" w:eastAsiaTheme="majorEastAsia" w:hAnsi="Arial" w:cs="Arial"/>
        </w:rPr>
        <w:t xml:space="preserve"> was categorized as critical due to its role in processing financial transactions, while </w:t>
      </w:r>
      <w:proofErr w:type="spellStart"/>
      <w:r w:rsidRPr="00CC275B">
        <w:rPr>
          <w:rFonts w:ascii="Arial" w:eastAsiaTheme="majorEastAsia" w:hAnsi="Arial" w:cs="Arial"/>
        </w:rPr>
        <w:t>CloudDocs</w:t>
      </w:r>
      <w:proofErr w:type="spellEnd"/>
      <w:r w:rsidRPr="00CC275B">
        <w:rPr>
          <w:rFonts w:ascii="Arial" w:eastAsiaTheme="majorEastAsia" w:hAnsi="Arial" w:cs="Arial"/>
        </w:rPr>
        <w:t xml:space="preserve"> and </w:t>
      </w:r>
      <w:proofErr w:type="spellStart"/>
      <w:r w:rsidRPr="00CC275B">
        <w:rPr>
          <w:rFonts w:ascii="Arial" w:eastAsiaTheme="majorEastAsia" w:hAnsi="Arial" w:cs="Arial"/>
        </w:rPr>
        <w:t>HRManage</w:t>
      </w:r>
      <w:proofErr w:type="spellEnd"/>
      <w:r w:rsidRPr="00CC275B">
        <w:rPr>
          <w:rFonts w:ascii="Arial" w:eastAsiaTheme="majorEastAsia" w:hAnsi="Arial" w:cs="Arial"/>
        </w:rPr>
        <w:t xml:space="preserve"> were categorized as high risk because they store sensitive data.</w:t>
      </w:r>
    </w:p>
    <w:p w14:paraId="7870F255" w14:textId="06156FBE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  <w:b/>
          <w:bCs/>
          <w:sz w:val="24"/>
          <w:szCs w:val="24"/>
        </w:rPr>
        <w:t>Security Questionnaire</w:t>
      </w:r>
      <w:r w:rsidRPr="00CC275B">
        <w:rPr>
          <w:rFonts w:ascii="Arial" w:eastAsiaTheme="majorEastAsia" w:hAnsi="Arial" w:cs="Arial"/>
          <w:sz w:val="24"/>
          <w:szCs w:val="24"/>
        </w:rPr>
        <w:br/>
      </w:r>
      <w:r w:rsidRPr="00CC275B">
        <w:rPr>
          <w:rFonts w:ascii="Arial" w:eastAsiaTheme="majorEastAsia" w:hAnsi="Arial" w:cs="Arial"/>
        </w:rPr>
        <w:t>A</w:t>
      </w:r>
      <w:r w:rsidRPr="00CC275B">
        <w:rPr>
          <w:rFonts w:ascii="Arial" w:eastAsiaTheme="majorEastAsia" w:hAnsi="Arial" w:cs="Arial"/>
        </w:rPr>
        <w:t xml:space="preserve"> vendor security questionnaire was used to evaluate each vendor’s cybersecurity maturity and compliance posture. the questionnaire assessed the following security practices:</w:t>
      </w:r>
    </w:p>
    <w:p w14:paraId="200D9A58" w14:textId="4521F4FB" w:rsidR="00CC275B" w:rsidRPr="00CC275B" w:rsidRDefault="00CC275B" w:rsidP="00CC275B">
      <w:pPr>
        <w:pStyle w:val="ListParagraph"/>
        <w:numPr>
          <w:ilvl w:val="0"/>
          <w:numId w:val="20"/>
        </w:num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E</w:t>
      </w:r>
      <w:r w:rsidRPr="00CC275B">
        <w:rPr>
          <w:rFonts w:ascii="Arial" w:eastAsiaTheme="majorEastAsia" w:hAnsi="Arial" w:cs="Arial"/>
        </w:rPr>
        <w:t>xistence of a formal information security program</w:t>
      </w:r>
    </w:p>
    <w:p w14:paraId="44E6F85C" w14:textId="5D8EF5B9" w:rsidR="00CC275B" w:rsidRPr="00CC275B" w:rsidRDefault="00CC275B" w:rsidP="00CC275B">
      <w:pPr>
        <w:pStyle w:val="ListParagraph"/>
        <w:numPr>
          <w:ilvl w:val="0"/>
          <w:numId w:val="20"/>
        </w:num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E</w:t>
      </w:r>
      <w:r w:rsidRPr="00CC275B">
        <w:rPr>
          <w:rFonts w:ascii="Arial" w:eastAsiaTheme="majorEastAsia" w:hAnsi="Arial" w:cs="Arial"/>
        </w:rPr>
        <w:t>ncryption of data at rest and in transit</w:t>
      </w:r>
    </w:p>
    <w:p w14:paraId="6BD2CBD1" w14:textId="4BB46B66" w:rsidR="00CC275B" w:rsidRPr="00CC275B" w:rsidRDefault="00CC275B" w:rsidP="00CC275B">
      <w:pPr>
        <w:pStyle w:val="ListParagraph"/>
        <w:numPr>
          <w:ilvl w:val="0"/>
          <w:numId w:val="20"/>
        </w:num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U</w:t>
      </w:r>
      <w:r w:rsidRPr="00CC275B">
        <w:rPr>
          <w:rFonts w:ascii="Arial" w:eastAsiaTheme="majorEastAsia" w:hAnsi="Arial" w:cs="Arial"/>
        </w:rPr>
        <w:t>se of multi-factor authentication</w:t>
      </w:r>
    </w:p>
    <w:p w14:paraId="10E20E6F" w14:textId="1B315352" w:rsidR="00CC275B" w:rsidRPr="00CC275B" w:rsidRDefault="00CC275B" w:rsidP="00CC275B">
      <w:pPr>
        <w:pStyle w:val="ListParagraph"/>
        <w:numPr>
          <w:ilvl w:val="0"/>
          <w:numId w:val="20"/>
        </w:num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E</w:t>
      </w:r>
      <w:r w:rsidRPr="00CC275B">
        <w:rPr>
          <w:rFonts w:ascii="Arial" w:eastAsiaTheme="majorEastAsia" w:hAnsi="Arial" w:cs="Arial"/>
        </w:rPr>
        <w:t>mployee security awareness training</w:t>
      </w:r>
    </w:p>
    <w:p w14:paraId="4B507564" w14:textId="5CFE90BD" w:rsidR="00CC275B" w:rsidRPr="00CC275B" w:rsidRDefault="00CC275B" w:rsidP="00CC275B">
      <w:pPr>
        <w:pStyle w:val="ListParagraph"/>
        <w:numPr>
          <w:ilvl w:val="0"/>
          <w:numId w:val="20"/>
        </w:num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V</w:t>
      </w:r>
      <w:r w:rsidRPr="00CC275B">
        <w:rPr>
          <w:rFonts w:ascii="Arial" w:eastAsiaTheme="majorEastAsia" w:hAnsi="Arial" w:cs="Arial"/>
        </w:rPr>
        <w:t>ulnerability management and patching practices</w:t>
      </w:r>
    </w:p>
    <w:p w14:paraId="68B45897" w14:textId="7DFC3BEE" w:rsidR="00CC275B" w:rsidRPr="00CC275B" w:rsidRDefault="00CC275B" w:rsidP="00CC275B">
      <w:pPr>
        <w:pStyle w:val="ListParagraph"/>
        <w:numPr>
          <w:ilvl w:val="0"/>
          <w:numId w:val="20"/>
        </w:num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E</w:t>
      </w:r>
      <w:r w:rsidRPr="00CC275B">
        <w:rPr>
          <w:rFonts w:ascii="Arial" w:eastAsiaTheme="majorEastAsia" w:hAnsi="Arial" w:cs="Arial"/>
        </w:rPr>
        <w:t>xistence of an incident response plan</w:t>
      </w:r>
    </w:p>
    <w:p w14:paraId="69B77BD5" w14:textId="5C3385E1" w:rsidR="00CC275B" w:rsidRPr="00CC275B" w:rsidRDefault="00CC275B" w:rsidP="00CC275B">
      <w:pPr>
        <w:pStyle w:val="ListParagraph"/>
        <w:numPr>
          <w:ilvl w:val="0"/>
          <w:numId w:val="20"/>
        </w:num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R</w:t>
      </w:r>
      <w:r w:rsidRPr="00CC275B">
        <w:rPr>
          <w:rFonts w:ascii="Arial" w:eastAsiaTheme="majorEastAsia" w:hAnsi="Arial" w:cs="Arial"/>
        </w:rPr>
        <w:t>egular penetration testing</w:t>
      </w:r>
    </w:p>
    <w:p w14:paraId="3F16988F" w14:textId="11908764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Vendor</w:t>
      </w:r>
      <w:r w:rsidRPr="00CC275B">
        <w:rPr>
          <w:rFonts w:ascii="Arial" w:eastAsiaTheme="majorEastAsia" w:hAnsi="Arial" w:cs="Arial"/>
        </w:rPr>
        <w:t xml:space="preserve"> responses were collected and evaluated to determine whether vendors follow industry-recognized security standards.</w:t>
      </w:r>
    </w:p>
    <w:p w14:paraId="60E77B4A" w14:textId="3FFF68EF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  <w:b/>
          <w:bCs/>
          <w:sz w:val="24"/>
          <w:szCs w:val="24"/>
        </w:rPr>
        <w:t>Documentation Review</w:t>
      </w:r>
      <w:r w:rsidRPr="00CC275B">
        <w:rPr>
          <w:rFonts w:ascii="Arial" w:eastAsiaTheme="majorEastAsia" w:hAnsi="Arial" w:cs="Arial"/>
          <w:sz w:val="24"/>
          <w:szCs w:val="24"/>
        </w:rPr>
        <w:br/>
      </w:r>
      <w:r w:rsidRPr="00CC275B">
        <w:rPr>
          <w:rFonts w:ascii="Arial" w:eastAsiaTheme="majorEastAsia" w:hAnsi="Arial" w:cs="Arial"/>
        </w:rPr>
        <w:t>V</w:t>
      </w:r>
      <w:r w:rsidRPr="00CC275B">
        <w:rPr>
          <w:rFonts w:ascii="Arial" w:eastAsiaTheme="majorEastAsia" w:hAnsi="Arial" w:cs="Arial"/>
        </w:rPr>
        <w:t>endors were required to provide security documentation to validate their responses and demonstrate compliance with recognized frameworks.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308"/>
        <w:gridCol w:w="2175"/>
        <w:gridCol w:w="1209"/>
        <w:gridCol w:w="2650"/>
      </w:tblGrid>
      <w:tr w:rsidR="00CC275B" w:rsidRPr="00CC275B" w14:paraId="3D579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1C1D1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46253309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t>SOC 2 Report</w:t>
            </w:r>
          </w:p>
        </w:tc>
        <w:tc>
          <w:tcPr>
            <w:tcW w:w="0" w:type="auto"/>
            <w:vAlign w:val="center"/>
            <w:hideMark/>
          </w:tcPr>
          <w:p w14:paraId="1C23BE62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t>ISO 27001 Certification</w:t>
            </w:r>
          </w:p>
        </w:tc>
        <w:tc>
          <w:tcPr>
            <w:tcW w:w="0" w:type="auto"/>
            <w:vAlign w:val="center"/>
            <w:hideMark/>
          </w:tcPr>
          <w:p w14:paraId="224B6E79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2D9ECA0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t>Notes</w:t>
            </w:r>
          </w:p>
        </w:tc>
      </w:tr>
      <w:tr w:rsidR="00CC275B" w:rsidRPr="00CC275B" w14:paraId="6E355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7797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CloudDocs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8B698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B1BDC8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CA9651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F59A82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acceptable security posture</w:t>
            </w:r>
          </w:p>
        </w:tc>
      </w:tr>
      <w:tr w:rsidR="00CC275B" w:rsidRPr="00CC275B" w14:paraId="03EA8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05AD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PayFlow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068A2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DADDD3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7CD2B9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ACF2C7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strong security program</w:t>
            </w:r>
          </w:p>
        </w:tc>
      </w:tr>
      <w:tr w:rsidR="00CC275B" w:rsidRPr="00CC275B" w14:paraId="032E8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CB75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HRManage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C3187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64E2B4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5A0B5A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724E30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limited security documentation</w:t>
            </w:r>
          </w:p>
        </w:tc>
      </w:tr>
      <w:tr w:rsidR="00CC275B" w:rsidRPr="00CC275B" w14:paraId="08BA7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5128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MarketTrack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03B69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23E764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709C4D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14291FED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incomplete controls</w:t>
            </w:r>
          </w:p>
        </w:tc>
      </w:tr>
    </w:tbl>
    <w:p w14:paraId="7417356B" w14:textId="46834849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This</w:t>
      </w:r>
      <w:r w:rsidRPr="00CC275B">
        <w:rPr>
          <w:rFonts w:ascii="Arial" w:eastAsiaTheme="majorEastAsia" w:hAnsi="Arial" w:cs="Arial"/>
        </w:rPr>
        <w:t xml:space="preserve"> review helped confirm whether vendor security practices aligned with their questionnaire responses.</w:t>
      </w:r>
    </w:p>
    <w:p w14:paraId="39693A0A" w14:textId="7A6CB6CF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  <w:b/>
          <w:bCs/>
          <w:sz w:val="24"/>
          <w:szCs w:val="24"/>
        </w:rPr>
        <w:t>Risk Scoring</w:t>
      </w:r>
      <w:r w:rsidRPr="00CC275B">
        <w:rPr>
          <w:rFonts w:ascii="Arial" w:eastAsiaTheme="majorEastAsia" w:hAnsi="Arial" w:cs="Arial"/>
          <w:sz w:val="24"/>
          <w:szCs w:val="24"/>
        </w:rPr>
        <w:br/>
      </w:r>
      <w:r w:rsidRPr="00CC275B">
        <w:rPr>
          <w:rFonts w:ascii="Arial" w:eastAsiaTheme="majorEastAsia" w:hAnsi="Arial" w:cs="Arial"/>
        </w:rPr>
        <w:t>V</w:t>
      </w:r>
      <w:r w:rsidRPr="00CC275B">
        <w:rPr>
          <w:rFonts w:ascii="Arial" w:eastAsiaTheme="majorEastAsia" w:hAnsi="Arial" w:cs="Arial"/>
        </w:rPr>
        <w:t>endor risk was calculated using a simple risk scoring model based on likelihood and impact.</w:t>
      </w:r>
    </w:p>
    <w:p w14:paraId="14E46854" w14:textId="77777777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Risk Score = Likelihood ×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160"/>
        <w:gridCol w:w="770"/>
        <w:gridCol w:w="1198"/>
        <w:gridCol w:w="1164"/>
      </w:tblGrid>
      <w:tr w:rsidR="00CC275B" w:rsidRPr="00CC275B" w14:paraId="5DE95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31810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lastRenderedPageBreak/>
              <w:t>Vendor</w:t>
            </w:r>
          </w:p>
        </w:tc>
        <w:tc>
          <w:tcPr>
            <w:tcW w:w="0" w:type="auto"/>
            <w:vAlign w:val="center"/>
            <w:hideMark/>
          </w:tcPr>
          <w:p w14:paraId="553EE478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68CFB472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34A65FD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583755F4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t>Risk Level</w:t>
            </w:r>
          </w:p>
        </w:tc>
      </w:tr>
      <w:tr w:rsidR="00CC275B" w:rsidRPr="00CC275B" w14:paraId="23FB9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0D90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PayFlow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6384F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CB173A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46CE76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6B35CB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high</w:t>
            </w:r>
          </w:p>
        </w:tc>
      </w:tr>
      <w:tr w:rsidR="00CC275B" w:rsidRPr="00CC275B" w14:paraId="6B506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B1B0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CloudDocs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F6E6C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2C1C00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3ADBBA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90C6375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high</w:t>
            </w:r>
          </w:p>
        </w:tc>
      </w:tr>
      <w:tr w:rsidR="00CC275B" w:rsidRPr="00CC275B" w14:paraId="3FEC7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3EEC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HRManage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7A6CC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36A964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0D2D87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D9889D4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medium</w:t>
            </w:r>
          </w:p>
        </w:tc>
      </w:tr>
      <w:tr w:rsidR="00CC275B" w:rsidRPr="00CC275B" w14:paraId="157D3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F689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MarketTrack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6CCA6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95BEEA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CA0335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E9C6D2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medium</w:t>
            </w:r>
          </w:p>
        </w:tc>
      </w:tr>
    </w:tbl>
    <w:p w14:paraId="7F2C5084" w14:textId="2CDEEB9F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This</w:t>
      </w:r>
      <w:r w:rsidRPr="00CC275B">
        <w:rPr>
          <w:rFonts w:ascii="Arial" w:eastAsiaTheme="majorEastAsia" w:hAnsi="Arial" w:cs="Arial"/>
        </w:rPr>
        <w:t xml:space="preserve"> scoring approach allows security teams to prioritize vendors that pose the greatest potential risk.</w:t>
      </w:r>
    </w:p>
    <w:p w14:paraId="6219D48F" w14:textId="081E15FF" w:rsidR="00CC275B" w:rsidRPr="00CC275B" w:rsidRDefault="00CC275B" w:rsidP="00CC275B">
      <w:pPr>
        <w:rPr>
          <w:rFonts w:ascii="Arial" w:eastAsiaTheme="majorEastAsia" w:hAnsi="Arial" w:cs="Arial"/>
          <w:sz w:val="24"/>
          <w:szCs w:val="24"/>
        </w:rPr>
      </w:pPr>
      <w:r w:rsidRPr="00CC275B">
        <w:rPr>
          <w:rFonts w:ascii="Arial" w:eastAsiaTheme="majorEastAsia" w:hAnsi="Arial" w:cs="Arial"/>
          <w:b/>
          <w:bCs/>
          <w:sz w:val="24"/>
          <w:szCs w:val="24"/>
        </w:rPr>
        <w:t>Security Gap Identification</w:t>
      </w:r>
      <w:r w:rsidRPr="00CC275B">
        <w:rPr>
          <w:rFonts w:ascii="Arial" w:eastAsiaTheme="majorEastAsia" w:hAnsi="Arial" w:cs="Arial"/>
          <w:sz w:val="24"/>
          <w:szCs w:val="24"/>
        </w:rPr>
        <w:br/>
      </w:r>
      <w:r>
        <w:rPr>
          <w:rFonts w:ascii="Arial" w:eastAsiaTheme="majorEastAsia" w:hAnsi="Arial" w:cs="Arial"/>
        </w:rPr>
        <w:t>T</w:t>
      </w:r>
      <w:r w:rsidRPr="00CC275B">
        <w:rPr>
          <w:rFonts w:ascii="Arial" w:eastAsiaTheme="majorEastAsia" w:hAnsi="Arial" w:cs="Arial"/>
        </w:rPr>
        <w:t>he assessment identified several areas where vendor security controls could be improved</w:t>
      </w:r>
      <w:r w:rsidRPr="00CC275B">
        <w:rPr>
          <w:rFonts w:ascii="Arial" w:eastAsiaTheme="majorEastAsia" w:hAnsi="Arial" w:cs="Arial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849"/>
        <w:gridCol w:w="3842"/>
      </w:tblGrid>
      <w:tr w:rsidR="00CC275B" w:rsidRPr="00CC275B" w14:paraId="3B89C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C4E7D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515BD166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t>Security Gap</w:t>
            </w:r>
          </w:p>
        </w:tc>
        <w:tc>
          <w:tcPr>
            <w:tcW w:w="0" w:type="auto"/>
            <w:vAlign w:val="center"/>
            <w:hideMark/>
          </w:tcPr>
          <w:p w14:paraId="4A7D148A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t>Risk</w:t>
            </w:r>
          </w:p>
        </w:tc>
      </w:tr>
      <w:tr w:rsidR="00CC275B" w:rsidRPr="00CC275B" w14:paraId="263A0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BDE6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HRManage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3DFA6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no SOC 2 certification</w:t>
            </w:r>
          </w:p>
        </w:tc>
        <w:tc>
          <w:tcPr>
            <w:tcW w:w="0" w:type="auto"/>
            <w:vAlign w:val="center"/>
            <w:hideMark/>
          </w:tcPr>
          <w:p w14:paraId="43E79488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reduced assurance of security controls</w:t>
            </w:r>
          </w:p>
        </w:tc>
      </w:tr>
      <w:tr w:rsidR="00CC275B" w:rsidRPr="00CC275B" w14:paraId="15719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2F30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MarketTrack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6076C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weak encryption practices</w:t>
            </w:r>
          </w:p>
        </w:tc>
        <w:tc>
          <w:tcPr>
            <w:tcW w:w="0" w:type="auto"/>
            <w:vAlign w:val="center"/>
            <w:hideMark/>
          </w:tcPr>
          <w:p w14:paraId="7437A2E8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possible data exposure</w:t>
            </w:r>
          </w:p>
        </w:tc>
      </w:tr>
      <w:tr w:rsidR="00CC275B" w:rsidRPr="00CC275B" w14:paraId="3C8FB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BD25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CloudDocs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1001F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lacks ISO 27001 certification</w:t>
            </w:r>
          </w:p>
        </w:tc>
        <w:tc>
          <w:tcPr>
            <w:tcW w:w="0" w:type="auto"/>
            <w:vAlign w:val="center"/>
            <w:hideMark/>
          </w:tcPr>
          <w:p w14:paraId="528E6A45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incomplete compliance coverage</w:t>
            </w:r>
          </w:p>
        </w:tc>
      </w:tr>
    </w:tbl>
    <w:p w14:paraId="717B8CAE" w14:textId="4E45C85C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These</w:t>
      </w:r>
      <w:r w:rsidRPr="00CC275B">
        <w:rPr>
          <w:rFonts w:ascii="Arial" w:eastAsiaTheme="majorEastAsia" w:hAnsi="Arial" w:cs="Arial"/>
        </w:rPr>
        <w:t xml:space="preserve"> gaps highlight areas where vendors may introduce additional risk to the organization.</w:t>
      </w:r>
    </w:p>
    <w:p w14:paraId="2BD0EEBE" w14:textId="17B32EAC" w:rsidR="00CC275B" w:rsidRPr="00CC275B" w:rsidRDefault="00CC275B" w:rsidP="00CC275B">
      <w:pPr>
        <w:rPr>
          <w:rFonts w:ascii="Arial" w:eastAsiaTheme="majorEastAsia" w:hAnsi="Arial" w:cs="Arial"/>
          <w:sz w:val="24"/>
          <w:szCs w:val="24"/>
        </w:rPr>
      </w:pPr>
      <w:r w:rsidRPr="00CC275B">
        <w:rPr>
          <w:rFonts w:ascii="Arial" w:eastAsiaTheme="majorEastAsia" w:hAnsi="Arial" w:cs="Arial"/>
          <w:b/>
          <w:bCs/>
          <w:sz w:val="24"/>
          <w:szCs w:val="24"/>
        </w:rPr>
        <w:t>Risk Mitigation Recommendations</w:t>
      </w:r>
      <w:r w:rsidRPr="00CC275B">
        <w:rPr>
          <w:rFonts w:ascii="Arial" w:eastAsiaTheme="majorEastAsia" w:hAnsi="Arial" w:cs="Arial"/>
          <w:sz w:val="24"/>
          <w:szCs w:val="24"/>
        </w:rPr>
        <w:br/>
      </w:r>
      <w:r w:rsidRPr="00CC275B">
        <w:rPr>
          <w:rFonts w:ascii="Arial" w:eastAsiaTheme="majorEastAsia" w:hAnsi="Arial" w:cs="Arial"/>
        </w:rPr>
        <w:t>S</w:t>
      </w:r>
      <w:r w:rsidRPr="00CC275B">
        <w:rPr>
          <w:rFonts w:ascii="Arial" w:eastAsiaTheme="majorEastAsia" w:hAnsi="Arial" w:cs="Arial"/>
        </w:rPr>
        <w:t>everal mitigation strategies were recommended to reduce vendor-related risk.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5065"/>
      </w:tblGrid>
      <w:tr w:rsidR="00CC275B" w:rsidRPr="00CC275B" w14:paraId="7788B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3A87F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4F43CFD3" w14:textId="77777777" w:rsidR="00CC275B" w:rsidRPr="00CC275B" w:rsidRDefault="00CC275B" w:rsidP="00CC275B">
            <w:pPr>
              <w:rPr>
                <w:rFonts w:ascii="Arial" w:eastAsiaTheme="majorEastAsia" w:hAnsi="Arial" w:cs="Arial"/>
                <w:b/>
                <w:bCs/>
              </w:rPr>
            </w:pPr>
            <w:r w:rsidRPr="00CC275B">
              <w:rPr>
                <w:rFonts w:ascii="Arial" w:eastAsiaTheme="majorEastAsia" w:hAnsi="Arial" w:cs="Arial"/>
                <w:b/>
                <w:bCs/>
              </w:rPr>
              <w:t>Recommendation</w:t>
            </w:r>
          </w:p>
        </w:tc>
      </w:tr>
      <w:tr w:rsidR="00CC275B" w:rsidRPr="00CC275B" w14:paraId="4CE44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7852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HRManage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0C6B9" w14:textId="6D3B5752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R</w:t>
            </w:r>
            <w:r w:rsidRPr="00CC275B">
              <w:rPr>
                <w:rFonts w:ascii="Arial" w:eastAsiaTheme="majorEastAsia" w:hAnsi="Arial" w:cs="Arial"/>
              </w:rPr>
              <w:t>equire SOC 2 certification within 12 months</w:t>
            </w:r>
          </w:p>
        </w:tc>
      </w:tr>
      <w:tr w:rsidR="00CC275B" w:rsidRPr="00CC275B" w14:paraId="05CA3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F31A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MarketTrack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822C3" w14:textId="6E65DC19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R</w:t>
            </w:r>
            <w:r w:rsidRPr="00CC275B">
              <w:rPr>
                <w:rFonts w:ascii="Arial" w:eastAsiaTheme="majorEastAsia" w:hAnsi="Arial" w:cs="Arial"/>
              </w:rPr>
              <w:t>equire encryption for stored customer data</w:t>
            </w:r>
          </w:p>
        </w:tc>
      </w:tr>
      <w:tr w:rsidR="00CC275B" w:rsidRPr="00CC275B" w14:paraId="7E34C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6F83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CloudDocs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6D9F7" w14:textId="255595F2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 w:rsidRPr="00CC275B">
              <w:rPr>
                <w:rFonts w:ascii="Arial" w:eastAsiaTheme="majorEastAsia" w:hAnsi="Arial" w:cs="Arial"/>
              </w:rPr>
              <w:t>Request</w:t>
            </w:r>
            <w:r w:rsidRPr="00CC275B">
              <w:rPr>
                <w:rFonts w:ascii="Arial" w:eastAsiaTheme="majorEastAsia" w:hAnsi="Arial" w:cs="Arial"/>
              </w:rPr>
              <w:t xml:space="preserve"> annual penetration testing reports</w:t>
            </w:r>
          </w:p>
        </w:tc>
      </w:tr>
      <w:tr w:rsidR="00CC275B" w:rsidRPr="00CC275B" w14:paraId="02058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8A67" w14:textId="77777777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proofErr w:type="spellStart"/>
            <w:r w:rsidRPr="00CC275B">
              <w:rPr>
                <w:rFonts w:ascii="Arial" w:eastAsiaTheme="majorEastAsia" w:hAnsi="Arial" w:cs="Arial"/>
              </w:rPr>
              <w:t>PayFlow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7730C" w14:textId="30751129" w:rsidR="00CC275B" w:rsidRPr="00CC275B" w:rsidRDefault="00CC275B" w:rsidP="00CC275B">
            <w:pPr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C</w:t>
            </w:r>
            <w:r w:rsidRPr="00CC275B">
              <w:rPr>
                <w:rFonts w:ascii="Arial" w:eastAsiaTheme="majorEastAsia" w:hAnsi="Arial" w:cs="Arial"/>
              </w:rPr>
              <w:t>ontinue annual compliance review and monitoring</w:t>
            </w:r>
          </w:p>
        </w:tc>
      </w:tr>
    </w:tbl>
    <w:p w14:paraId="2920827A" w14:textId="25C3D02B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These</w:t>
      </w:r>
      <w:r w:rsidRPr="00CC275B">
        <w:rPr>
          <w:rFonts w:ascii="Arial" w:eastAsiaTheme="majorEastAsia" w:hAnsi="Arial" w:cs="Arial"/>
        </w:rPr>
        <w:t xml:space="preserve"> recommendations help strengthen vendor security practices and ensure ongoing compliance.</w:t>
      </w:r>
    </w:p>
    <w:p w14:paraId="5F3A38B8" w14:textId="4D58A544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  <w:b/>
          <w:bCs/>
          <w:sz w:val="24"/>
          <w:szCs w:val="24"/>
        </w:rPr>
        <w:t>Vendor Risk Assessment Report</w:t>
      </w:r>
      <w:r w:rsidRPr="00CC275B">
        <w:rPr>
          <w:rFonts w:ascii="Arial" w:eastAsiaTheme="majorEastAsia" w:hAnsi="Arial" w:cs="Arial"/>
          <w:sz w:val="24"/>
          <w:szCs w:val="24"/>
        </w:rPr>
        <w:br/>
      </w:r>
      <w:r w:rsidRPr="00CC275B">
        <w:rPr>
          <w:rFonts w:ascii="Arial" w:eastAsiaTheme="majorEastAsia" w:hAnsi="Arial" w:cs="Arial"/>
        </w:rPr>
        <w:t>T</w:t>
      </w:r>
      <w:r w:rsidRPr="00CC275B">
        <w:rPr>
          <w:rFonts w:ascii="Arial" w:eastAsiaTheme="majorEastAsia" w:hAnsi="Arial" w:cs="Arial"/>
        </w:rPr>
        <w:t xml:space="preserve">he third-party vendor risk assessment identified two high-risk vendors and two medium-risk vendors. </w:t>
      </w:r>
      <w:r w:rsidRPr="00CC275B">
        <w:rPr>
          <w:rFonts w:ascii="Arial" w:eastAsiaTheme="majorEastAsia" w:hAnsi="Arial" w:cs="Arial"/>
        </w:rPr>
        <w:t>The</w:t>
      </w:r>
      <w:r w:rsidRPr="00CC275B">
        <w:rPr>
          <w:rFonts w:ascii="Arial" w:eastAsiaTheme="majorEastAsia" w:hAnsi="Arial" w:cs="Arial"/>
        </w:rPr>
        <w:t xml:space="preserve"> vendors handling financial and customer data demonstrated generally </w:t>
      </w:r>
      <w:r w:rsidRPr="00CC275B">
        <w:rPr>
          <w:rFonts w:ascii="Arial" w:eastAsiaTheme="majorEastAsia" w:hAnsi="Arial" w:cs="Arial"/>
        </w:rPr>
        <w:lastRenderedPageBreak/>
        <w:t xml:space="preserve">strong security practices; however, several vendors lacked formal compliance certifications or comprehensive documentation. </w:t>
      </w:r>
      <w:r w:rsidRPr="00CC275B">
        <w:rPr>
          <w:rFonts w:ascii="Arial" w:eastAsiaTheme="majorEastAsia" w:hAnsi="Arial" w:cs="Arial"/>
        </w:rPr>
        <w:t>Remediation</w:t>
      </w:r>
      <w:r w:rsidRPr="00CC275B">
        <w:rPr>
          <w:rFonts w:ascii="Arial" w:eastAsiaTheme="majorEastAsia" w:hAnsi="Arial" w:cs="Arial"/>
        </w:rPr>
        <w:t xml:space="preserve"> actions were recommended to address these gaps and reduce potential third-party risk exposure.</w:t>
      </w:r>
    </w:p>
    <w:p w14:paraId="579ED6BD" w14:textId="79293009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  <w:b/>
          <w:bCs/>
          <w:sz w:val="24"/>
          <w:szCs w:val="24"/>
        </w:rPr>
        <w:t>Continuous Monitoring</w:t>
      </w:r>
      <w:r w:rsidRPr="00CC275B">
        <w:rPr>
          <w:rFonts w:ascii="Arial" w:eastAsiaTheme="majorEastAsia" w:hAnsi="Arial" w:cs="Arial"/>
          <w:sz w:val="24"/>
          <w:szCs w:val="24"/>
        </w:rPr>
        <w:br/>
      </w:r>
      <w:r w:rsidRPr="00CC275B">
        <w:rPr>
          <w:rFonts w:ascii="Arial" w:eastAsiaTheme="majorEastAsia" w:hAnsi="Arial" w:cs="Arial"/>
        </w:rPr>
        <w:t>T</w:t>
      </w:r>
      <w:r w:rsidRPr="00CC275B">
        <w:rPr>
          <w:rFonts w:ascii="Arial" w:eastAsiaTheme="majorEastAsia" w:hAnsi="Arial" w:cs="Arial"/>
        </w:rPr>
        <w:t>o maintain effective third-party risk management, the organization will implement an ongoing monitoring program that includes:</w:t>
      </w:r>
    </w:p>
    <w:p w14:paraId="03A10015" w14:textId="455FED4D" w:rsidR="00CC275B" w:rsidRPr="00CC275B" w:rsidRDefault="00CC275B" w:rsidP="00CC275B">
      <w:pPr>
        <w:pStyle w:val="ListParagraph"/>
        <w:numPr>
          <w:ilvl w:val="0"/>
          <w:numId w:val="21"/>
        </w:num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A</w:t>
      </w:r>
      <w:r w:rsidRPr="00CC275B">
        <w:rPr>
          <w:rFonts w:ascii="Arial" w:eastAsiaTheme="majorEastAsia" w:hAnsi="Arial" w:cs="Arial"/>
        </w:rPr>
        <w:t>nnual vendor risk reassessments</w:t>
      </w:r>
    </w:p>
    <w:p w14:paraId="528CDCED" w14:textId="30FB129B" w:rsidR="00CC275B" w:rsidRPr="00CC275B" w:rsidRDefault="00CC275B" w:rsidP="00CC275B">
      <w:pPr>
        <w:pStyle w:val="ListParagraph"/>
        <w:numPr>
          <w:ilvl w:val="0"/>
          <w:numId w:val="21"/>
        </w:num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R</w:t>
      </w:r>
      <w:r w:rsidRPr="00CC275B">
        <w:rPr>
          <w:rFonts w:ascii="Arial" w:eastAsiaTheme="majorEastAsia" w:hAnsi="Arial" w:cs="Arial"/>
        </w:rPr>
        <w:t>eview of updated SOC 2 reports and compliance certifications</w:t>
      </w:r>
    </w:p>
    <w:p w14:paraId="01044BE4" w14:textId="0CE7FF26" w:rsidR="00CC275B" w:rsidRPr="00CC275B" w:rsidRDefault="00CC275B" w:rsidP="00CC275B">
      <w:pPr>
        <w:pStyle w:val="ListParagraph"/>
        <w:numPr>
          <w:ilvl w:val="0"/>
          <w:numId w:val="21"/>
        </w:num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P</w:t>
      </w:r>
      <w:r w:rsidRPr="00CC275B">
        <w:rPr>
          <w:rFonts w:ascii="Arial" w:eastAsiaTheme="majorEastAsia" w:hAnsi="Arial" w:cs="Arial"/>
        </w:rPr>
        <w:t>eriodic security questionnaires</w:t>
      </w:r>
    </w:p>
    <w:p w14:paraId="1CE00A80" w14:textId="5972FE31" w:rsidR="00CC275B" w:rsidRPr="00CC275B" w:rsidRDefault="00CC275B" w:rsidP="00CC275B">
      <w:pPr>
        <w:pStyle w:val="ListParagraph"/>
        <w:numPr>
          <w:ilvl w:val="0"/>
          <w:numId w:val="21"/>
        </w:num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M</w:t>
      </w:r>
      <w:r w:rsidRPr="00CC275B">
        <w:rPr>
          <w:rFonts w:ascii="Arial" w:eastAsiaTheme="majorEastAsia" w:hAnsi="Arial" w:cs="Arial"/>
        </w:rPr>
        <w:t>onitoring for vendor security incidents or breaches</w:t>
      </w:r>
    </w:p>
    <w:p w14:paraId="59FF8B78" w14:textId="17C0D004" w:rsidR="00CC275B" w:rsidRPr="00CC275B" w:rsidRDefault="00CC275B" w:rsidP="00CC275B">
      <w:pPr>
        <w:pStyle w:val="ListParagraph"/>
        <w:numPr>
          <w:ilvl w:val="0"/>
          <w:numId w:val="21"/>
        </w:num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U</w:t>
      </w:r>
      <w:r w:rsidRPr="00CC275B">
        <w:rPr>
          <w:rFonts w:ascii="Arial" w:eastAsiaTheme="majorEastAsia" w:hAnsi="Arial" w:cs="Arial"/>
        </w:rPr>
        <w:t>pdating vendor risk scores as new information becomes available</w:t>
      </w:r>
    </w:p>
    <w:p w14:paraId="3B965E10" w14:textId="17CA8D70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Continuous</w:t>
      </w:r>
      <w:r w:rsidRPr="00CC275B">
        <w:rPr>
          <w:rFonts w:ascii="Arial" w:eastAsiaTheme="majorEastAsia" w:hAnsi="Arial" w:cs="Arial"/>
        </w:rPr>
        <w:t xml:space="preserve"> monitoring ensures that vendor security posture remains aligned with organizational risk tolerance and regulatory expectations.</w:t>
      </w:r>
    </w:p>
    <w:p w14:paraId="12A35758" w14:textId="2C050D15" w:rsidR="00CC275B" w:rsidRPr="00CC275B" w:rsidRDefault="00CC275B" w:rsidP="00CC275B">
      <w:pPr>
        <w:rPr>
          <w:rFonts w:ascii="Arial" w:eastAsiaTheme="majorEastAsia" w:hAnsi="Arial" w:cs="Arial"/>
        </w:rPr>
      </w:pPr>
      <w:r w:rsidRPr="00CC275B">
        <w:rPr>
          <w:rFonts w:ascii="Arial" w:eastAsiaTheme="majorEastAsia" w:hAnsi="Arial" w:cs="Arial"/>
        </w:rPr>
        <w:t>This</w:t>
      </w:r>
      <w:r w:rsidRPr="00CC275B">
        <w:rPr>
          <w:rFonts w:ascii="Arial" w:eastAsiaTheme="majorEastAsia" w:hAnsi="Arial" w:cs="Arial"/>
        </w:rPr>
        <w:t xml:space="preserve"> project demonstrates how organizations evaluate vendor cybersecurity posture, identify potential risks, and implement controls to reduce third-party exposure. </w:t>
      </w:r>
      <w:r w:rsidRPr="00CC275B">
        <w:rPr>
          <w:rFonts w:ascii="Arial" w:eastAsiaTheme="majorEastAsia" w:hAnsi="Arial" w:cs="Arial"/>
        </w:rPr>
        <w:t>It</w:t>
      </w:r>
      <w:r w:rsidRPr="00CC275B">
        <w:rPr>
          <w:rFonts w:ascii="Arial" w:eastAsiaTheme="majorEastAsia" w:hAnsi="Arial" w:cs="Arial"/>
        </w:rPr>
        <w:t xml:space="preserve"> also reflects common responsibilities performed by governance, risk, and compliance analysts when managing vendor risk programs.</w:t>
      </w:r>
    </w:p>
    <w:p w14:paraId="5B0E7C3E" w14:textId="0F418977" w:rsidR="00C673C5" w:rsidRPr="00CC275B" w:rsidRDefault="00C673C5" w:rsidP="00CC275B">
      <w:pPr>
        <w:rPr>
          <w:rFonts w:ascii="Arial" w:hAnsi="Arial" w:cs="Arial"/>
          <w:sz w:val="24"/>
          <w:szCs w:val="24"/>
        </w:rPr>
      </w:pPr>
    </w:p>
    <w:sectPr w:rsidR="00C673C5" w:rsidRPr="00CC27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72A83"/>
    <w:multiLevelType w:val="multilevel"/>
    <w:tmpl w:val="40123F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C521E2"/>
    <w:multiLevelType w:val="multilevel"/>
    <w:tmpl w:val="3EB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54B76"/>
    <w:multiLevelType w:val="multilevel"/>
    <w:tmpl w:val="41A0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D77E43"/>
    <w:multiLevelType w:val="multilevel"/>
    <w:tmpl w:val="6A7A6A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EC04C8"/>
    <w:multiLevelType w:val="multilevel"/>
    <w:tmpl w:val="32DEDC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AD76DB"/>
    <w:multiLevelType w:val="hybridMultilevel"/>
    <w:tmpl w:val="DD18A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32D39"/>
    <w:multiLevelType w:val="hybridMultilevel"/>
    <w:tmpl w:val="537C1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2A54A2"/>
    <w:multiLevelType w:val="multilevel"/>
    <w:tmpl w:val="325082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360215"/>
    <w:multiLevelType w:val="multilevel"/>
    <w:tmpl w:val="20D020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F91835"/>
    <w:multiLevelType w:val="multilevel"/>
    <w:tmpl w:val="BB08C0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2D28EB"/>
    <w:multiLevelType w:val="multilevel"/>
    <w:tmpl w:val="DE004F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324906"/>
    <w:multiLevelType w:val="multilevel"/>
    <w:tmpl w:val="7E2C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462168">
    <w:abstractNumId w:val="8"/>
  </w:num>
  <w:num w:numId="2" w16cid:durableId="1537546057">
    <w:abstractNumId w:val="6"/>
  </w:num>
  <w:num w:numId="3" w16cid:durableId="1198394781">
    <w:abstractNumId w:val="5"/>
  </w:num>
  <w:num w:numId="4" w16cid:durableId="1575507016">
    <w:abstractNumId w:val="4"/>
  </w:num>
  <w:num w:numId="5" w16cid:durableId="892615302">
    <w:abstractNumId w:val="7"/>
  </w:num>
  <w:num w:numId="6" w16cid:durableId="2096053989">
    <w:abstractNumId w:val="3"/>
  </w:num>
  <w:num w:numId="7" w16cid:durableId="1875652858">
    <w:abstractNumId w:val="2"/>
  </w:num>
  <w:num w:numId="8" w16cid:durableId="978847109">
    <w:abstractNumId w:val="1"/>
  </w:num>
  <w:num w:numId="9" w16cid:durableId="959259640">
    <w:abstractNumId w:val="0"/>
  </w:num>
  <w:num w:numId="10" w16cid:durableId="755711362">
    <w:abstractNumId w:val="11"/>
  </w:num>
  <w:num w:numId="11" w16cid:durableId="1471481438">
    <w:abstractNumId w:val="18"/>
  </w:num>
  <w:num w:numId="12" w16cid:durableId="1122459020">
    <w:abstractNumId w:val="9"/>
  </w:num>
  <w:num w:numId="13" w16cid:durableId="2136290803">
    <w:abstractNumId w:val="10"/>
  </w:num>
  <w:num w:numId="14" w16cid:durableId="1757944938">
    <w:abstractNumId w:val="17"/>
  </w:num>
  <w:num w:numId="15" w16cid:durableId="112603880">
    <w:abstractNumId w:val="19"/>
  </w:num>
  <w:num w:numId="16" w16cid:durableId="694768575">
    <w:abstractNumId w:val="12"/>
  </w:num>
  <w:num w:numId="17" w16cid:durableId="1310205111">
    <w:abstractNumId w:val="13"/>
  </w:num>
  <w:num w:numId="18" w16cid:durableId="2068794889">
    <w:abstractNumId w:val="16"/>
  </w:num>
  <w:num w:numId="19" w16cid:durableId="364330495">
    <w:abstractNumId w:val="20"/>
  </w:num>
  <w:num w:numId="20" w16cid:durableId="1966235369">
    <w:abstractNumId w:val="15"/>
  </w:num>
  <w:num w:numId="21" w16cid:durableId="15095614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382B"/>
    <w:rsid w:val="00495026"/>
    <w:rsid w:val="00AA1D8D"/>
    <w:rsid w:val="00B47730"/>
    <w:rsid w:val="00C673C5"/>
    <w:rsid w:val="00CB0664"/>
    <w:rsid w:val="00CC27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1C896"/>
  <w14:defaultImageDpi w14:val="300"/>
  <w15:docId w15:val="{9C17EB92-BB3A-4995-B2DC-EC180524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715</Words>
  <Characters>4642</Characters>
  <Application>Microsoft Office Word</Application>
  <DocSecurity>0</DocSecurity>
  <Lines>211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Malik Dukes</cp:lastModifiedBy>
  <cp:revision>2</cp:revision>
  <dcterms:created xsi:type="dcterms:W3CDTF">2026-03-16T03:07:00Z</dcterms:created>
  <dcterms:modified xsi:type="dcterms:W3CDTF">2026-03-16T03:07:00Z</dcterms:modified>
  <cp:category/>
</cp:coreProperties>
</file>