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ulo0"/>
        <w:keepNext/>
        <w:spacing w:before="0" w:after="160"/>
      </w:pPr>
      <w:r>
        <w:t xml:space="preserve">Dupla 4 — Material para el Informe y Presentación 1</w:t>
      </w:r>
    </w:p>
    <w:p>
      <w:pPr>
        <w:shd w:val="clear" w:fill="F4F7FB"/>
        <w:pBdr>
          <w:left w:val="single" w:sz="18" w:space="8" w:color="9CC3F5"/>
        </w:pBdr>
        <w:ind w:left="200"/>
        <w:spacing w:before="100" w:after="140"/>
      </w:pPr>
      <w:r>
        <w:rPr>
          <w:b/>
          <w:sz w:val="21"/>
          <w:szCs w:val="21"/>
        </w:rPr>
        <w:t xml:space="preserve">Estado:</w:t>
      </w:r>
      <w:r>
        <w:rPr>
          <w:sz w:val="21"/>
          <w:szCs w:val="21"/>
        </w:rPr>
        <w:t xml:space="preserve"> material de trabajo ordenado, no redactado como informe. </w:t>
      </w:r>
      <w:r>
        <w:rPr>
          <w:b/>
          <w:sz w:val="21"/>
          <w:szCs w:val="21"/>
        </w:rPr>
        <w:t xml:space="preserve">Autores:</w:t>
      </w:r>
      <w:r>
        <w:rPr>
          <w:sz w:val="21"/>
          <w:szCs w:val="21"/>
        </w:rPr>
        <w:t xml:space="preserve"> Ignacio V + Alonso (Dupla 4) · </w:t>
      </w:r>
      <w:r>
        <w:rPr>
          <w:b/>
          <w:sz w:val="21"/>
          <w:szCs w:val="21"/>
        </w:rPr>
        <w:t xml:space="preserve">Peso:</w:t>
      </w:r>
      <w:r>
        <w:rPr>
          <w:sz w:val="21"/>
          <w:szCs w:val="21"/>
        </w:rPr>
        <w:t xml:space="preserve"> 16 % (subdoc. 4.2, Formulario T-11) </w:t>
      </w:r>
      <w:r>
        <w:rPr>
          <w:b/>
          <w:sz w:val="21"/>
          <w:szCs w:val="21"/>
        </w:rPr>
        <w:t xml:space="preserve">Fecha de corte:</w:t>
      </w:r>
      <w:r>
        <w:rPr>
          <w:sz w:val="21"/>
          <w:szCs w:val="21"/>
        </w:rPr>
        <w:t xml:space="preserve"> 01-09-2026 </w:t>
      </w:r>
      <w:r>
        <w:rPr>
          <w:b/>
          <w:sz w:val="21"/>
          <w:szCs w:val="21"/>
        </w:rPr>
        <w:t xml:space="preserve">Fuente de cada afirmación:</w:t>
      </w:r>
      <w:r>
        <w:rPr>
          <w:sz w:val="21"/>
          <w:szCs w:val="21"/>
        </w:rPr>
        <w:t xml:space="preserve"> verificada por OCR sobre los PDF originales. Toda página citada es la </w:t>
      </w:r>
      <w:r>
        <w:rPr>
          <w:b/>
          <w:sz w:val="21"/>
          <w:szCs w:val="21"/>
        </w:rPr>
        <w:t xml:space="preserve">numeración impresa al pie</w:t>
      </w:r>
      <w:r>
        <w:rPr>
          <w:sz w:val="21"/>
          <w:szCs w:val="21"/>
        </w:rPr>
        <w:t xml:space="preserve">; en el lector de PDF súmese 1.</w:t>
      </w:r>
    </w:p>
    <w:p>
      <w:pPr>
        <w:pBdr>
          <w:bottom w:val="single" w:sz="6" w:space="1" w:color="C8D2DE"/>
        </w:pBdr>
        <w:spacing w:before="160" w:after="160"/>
      </w:pPr>
    </w:p>
    <w:p>
      <w:pPr>
        <w:pStyle w:val="Heading1"/>
        <w:keepNext/>
        <w:spacing w:before="320" w:after="120"/>
      </w:pPr>
      <w:r>
        <w:t xml:space="preserve">0. Reglas que gobiernan este material</w:t>
      </w:r>
    </w:p>
    <w:p>
      <w:pPr>
        <w:pStyle w:val="Heading2"/>
        <w:keepNext/>
        <w:spacing w:before="260" w:after="100"/>
      </w:pPr>
      <w:r>
        <w:t xml:space="preserve">0.1 Qué le toca a D4 y qué no</w:t>
      </w:r>
    </w:p>
    <w:p>
      <w:pPr>
        <w:spacing w:before="0" w:after="140" w:line="264" w:lineRule="auto"/>
      </w:pPr>
      <w:r>
        <w:t xml:space="preserve">El plan de trabajo por duplas (pág. 5/9) asigna a D4 </w:t>
      </w:r>
      <w:r>
        <w:rPr>
          <w:b/>
        </w:rPr>
        <w:t xml:space="preserve">siete entregables</w:t>
      </w:r>
      <w:r>
        <w:t xml:space="preserve">:</w:t>
      </w:r>
    </w:p>
    <w:p>
      <w:pPr>
        <w:ind w:left="340"/>
        <w:spacing w:before="20" w:after="60"/>
      </w:pPr>
      <w:r>
        <w:t xml:space="preserve">1.  </w:t>
      </w:r>
      <w:r>
        <w:t xml:space="preserve">Tabla de emplazamiento componente por componente, con justificación.</w:t>
      </w:r>
    </w:p>
    <w:p>
      <w:pPr>
        <w:ind w:left="340"/>
        <w:spacing w:before="20" w:after="60"/>
      </w:pPr>
      <w:r>
        <w:t xml:space="preserve">2.  </w:t>
      </w:r>
      <w:r>
        <w:t xml:space="preserve">Especificación del dispositivo a bordo como componente on-premise distribuido en 374 unidades.</w:t>
      </w:r>
    </w:p>
    <w:p>
      <w:pPr>
        <w:ind w:left="340"/>
        <w:spacing w:before="20" w:after="60"/>
      </w:pPr>
      <w:r>
        <w:t xml:space="preserve">3.  </w:t>
      </w:r>
      <w:r>
        <w:t xml:space="preserve">Especificación de tecnologías de software con versión, fin de soporte y plan de actualización a 56 meses.</w:t>
      </w:r>
    </w:p>
    <w:p>
      <w:pPr>
        <w:ind w:left="340"/>
        <w:spacing w:before="20" w:after="60"/>
      </w:pPr>
      <w:r>
        <w:t xml:space="preserve">4.  </w:t>
      </w:r>
      <w:r>
        <w:t xml:space="preserve">Data center primario.</w:t>
      </w:r>
    </w:p>
    <w:p>
      <w:pPr>
        <w:ind w:left="340"/>
        <w:spacing w:before="20" w:after="60"/>
      </w:pPr>
      <w:r>
        <w:t xml:space="preserve">5.  </w:t>
      </w:r>
      <w:r>
        <w:t xml:space="preserve">Data center secundario y recuperación ante desastres.</w:t>
      </w:r>
    </w:p>
    <w:p>
      <w:pPr>
        <w:ind w:left="340"/>
        <w:spacing w:before="20" w:after="60"/>
      </w:pPr>
      <w:r>
        <w:t xml:space="preserve">6.  </w:t>
      </w:r>
      <w:r>
        <w:t xml:space="preserve">Red y enlaces, incluida la caracterización en terreno de la cobertura móvil.</w:t>
      </w:r>
    </w:p>
    <w:p>
      <w:pPr>
        <w:ind w:left="340"/>
        <w:spacing w:before="20" w:after="60"/>
      </w:pPr>
      <w:r>
        <w:t xml:space="preserve">7.  </w:t>
      </w:r>
      <w:r>
        <w:t xml:space="preserve">Costo recurrente de datos móviles derivado de la frecuencia de muestreo.</w:t>
      </w:r>
    </w:p>
    <w:p>
      <w:pPr>
        <w:spacing w:before="0" w:after="140" w:line="264" w:lineRule="auto"/>
      </w:pPr>
      <w:r>
        <w:t xml:space="preserve">Más </w:t>
      </w:r>
      <w:r>
        <w:rPr>
          <w:b/>
        </w:rPr>
        <w:t xml:space="preserve">una</w:t>
      </w:r>
      <w:r>
        <w:t xml:space="preserve"> ficha de innovación: </w:t>
      </w:r>
      <w:r>
        <w:rPr>
          <w:b/>
        </w:rPr>
        <w:t xml:space="preserve">tipo 2, Proceso</w:t>
      </w:r>
      <w:r>
        <w:t xml:space="preserve">.</w:t>
      </w:r>
    </w:p>
    <w:p>
      <w:pPr>
        <w:shd w:val="clear" w:fill="FDF3F3"/>
        <w:pBdr>
          <w:left w:val="single" w:sz="18" w:space="8" w:color="D98A8A"/>
        </w:pBdr>
        <w:ind w:left="200"/>
        <w:spacing w:before="100" w:after="140"/>
      </w:pPr>
      <w:r>
        <w:rPr>
          <w:sz w:val="21"/>
          <w:szCs w:val="21"/>
        </w:rPr>
        <w:t xml:space="preserve">⚠ </w:t>
      </w:r>
      <w:r>
        <w:rPr>
          <w:b/>
          <w:sz w:val="21"/>
          <w:szCs w:val="21"/>
        </w:rPr>
        <w:t xml:space="preserve">Discrepancia detectada entre nuestros propios documentos.</w:t>
      </w:r>
      <w:r>
        <w:rPr>
          <w:sz w:val="21"/>
          <w:szCs w:val="21"/>
        </w:rPr>
        <w:t xml:space="preserve"> </w:t>
      </w:r>
      <w:r>
        <w:rPr>
          <w:rFonts w:ascii="Consolas" w:hAnsi="Consolas"/>
          <w:color w:val="5B21B6"/>
          <w:sz w:val="19"/>
          <w:szCs w:val="19"/>
          <w:shd w:val="clear" w:fill="F1F4F8"/>
        </w:rPr>
        <w:t xml:space="preserve">CONTEXTO-CASO10.md</w:t>
      </w:r>
      <w:r>
        <w:rPr>
          <w:sz w:val="21"/>
          <w:szCs w:val="21"/>
        </w:rPr>
        <w:t xml:space="preserve"> asigna a D4 la innovación tipo 2 y dice que la tipo 4 es de D1 y la tipo 5 de D2. El </w:t>
      </w:r>
      <w:r>
        <w:rPr>
          <w:rFonts w:ascii="Consolas" w:hAnsi="Consolas"/>
          <w:color w:val="5B21B6"/>
          <w:sz w:val="19"/>
          <w:szCs w:val="19"/>
          <w:shd w:val="clear" w:fill="F1F4F8"/>
        </w:rPr>
        <w:t xml:space="preserve">Plan_Trabajo_Duplas_Informe1_Caso10.pdf</w:t>
      </w:r>
      <w:r>
        <w:rPr>
          <w:sz w:val="21"/>
          <w:szCs w:val="21"/>
        </w:rPr>
        <w:t xml:space="preserve"> (pág. 6/9) dice tipo 4 = D2 y tipo 5 = D1. En lo que toca a D4 no hay conflicto (tipo 2 en ambos), pero </w:t>
      </w:r>
      <w:r>
        <w:rPr>
          <w:b/>
          <w:sz w:val="21"/>
          <w:szCs w:val="21"/>
        </w:rPr>
        <w:t xml:space="preserve">hay que alinear al equipo</w:t>
      </w:r>
      <w:r>
        <w:rPr>
          <w:sz w:val="21"/>
          <w:szCs w:val="21"/>
        </w:rPr>
        <w:t xml:space="preserve"> antes del 04-09 o dos duplas van a escribir la misma ficha.</w:t>
      </w:r>
    </w:p>
    <w:p>
      <w:pPr>
        <w:pStyle w:val="Heading2"/>
        <w:keepNext/>
        <w:spacing w:before="260" w:after="100"/>
      </w:pPr>
      <w:r>
        <w:t xml:space="preserve">0.2 La regla de prelación caso ↔ transversales</w:t>
      </w:r>
    </w:p>
    <w:p>
      <w:pPr>
        <w:spacing w:before="0" w:after="140" w:line="264" w:lineRule="auto"/>
      </w:pPr>
      <w:r>
        <w:t xml:space="preserve">Decisión del equipo: </w:t>
      </w:r>
      <w:r>
        <w:rPr>
          <w:b/>
        </w:rPr>
        <w:t xml:space="preserve">prevalece el caso</w:t>
      </w:r>
      <w:r>
        <w:t xml:space="preserve">. Queda anotada, y con una precisión que hay que escribir bien porque el documento no dice exactamente eso.</w:t>
      </w:r>
    </w:p>
    <w:p>
      <w:pPr>
        <w:spacing w:before="0" w:after="140" w:line="264" w:lineRule="auto"/>
      </w:pPr>
      <w:r>
        <w:t xml:space="preserve">El Cap. 15 del Caso (pág. 31/49) dice literalmente:</w:t>
      </w:r>
    </w:p>
    <w:p>
      <w:pPr>
        <w:shd w:val="clear" w:fill="F4F7FB"/>
        <w:pBdr>
          <w:left w:val="single" w:sz="18" w:space="8" w:color="9CC3F5"/>
        </w:pBdr>
        <w:ind w:left="200"/>
        <w:spacing w:before="100" w:after="140"/>
      </w:pPr>
      <w:r>
        <w:rPr>
          <w:sz w:val="21"/>
          <w:szCs w:val="21"/>
        </w:rPr>
        <w:t xml:space="preserve">«Cuando este capítulo endurece un umbral del documento transversal, </w:t>
      </w:r>
      <w:r>
        <w:rPr>
          <w:b/>
          <w:sz w:val="21"/>
          <w:szCs w:val="21"/>
        </w:rPr>
        <w:t xml:space="preserve">prevalece el más exigente</w:t>
      </w:r>
      <w:r>
        <w:rPr>
          <w:sz w:val="21"/>
          <w:szCs w:val="21"/>
        </w:rPr>
        <w:t xml:space="preserve">.»</w:t>
      </w:r>
    </w:p>
    <w:p>
      <w:pPr>
        <w:spacing w:before="0" w:after="140" w:line="264" w:lineRule="auto"/>
      </w:pPr>
      <w:r>
        <w:t xml:space="preserve">No dice «prevalece el caso». Dice «prevalece el más exigente». En la práctica coinciden casi siempre, porque el caso endurece. Pero hay al menos un punto donde </w:t>
      </w:r>
      <w:r>
        <w:rPr>
          <w:b/>
        </w:rPr>
        <w:t xml:space="preserve">el transversal es más exigente que el caso</w:t>
      </w:r>
      <w:r>
        <w:t xml:space="preserve"> y ahí la regla nos obliga al transversal. Redacción sugerida para el informe:</w:t>
      </w:r>
    </w:p>
    <w:p>
      <w:pPr>
        <w:shd w:val="clear" w:fill="F4F7FB"/>
        <w:pBdr>
          <w:left w:val="single" w:sz="18" w:space="8" w:color="9CC3F5"/>
        </w:pBdr>
        <w:ind w:left="200"/>
        <w:spacing w:before="100" w:after="140"/>
      </w:pPr>
      <w:r>
        <w:rPr>
          <w:sz w:val="21"/>
          <w:szCs w:val="21"/>
        </w:rPr>
        <w:t xml:space="preserve">«Ante discrepancia entre las Bases Técnicas Transversales y las Bases Técnicas del Caso 10, esta propuesta aplica el umbral más exigente, conforme al encabezado del Capítulo 15 del Caso (pág. 31/49). Cuando el Caso individualiza un parámetro que el documento transversal deja abierto, prevalece el Caso. El registro de las discrepancias detectadas se acompaña en el Anexo de consultas.»</w:t>
      </w:r>
    </w:p>
    <w:p>
      <w:pPr>
        <w:pStyle w:val="Heading2"/>
        <w:keepNext/>
        <w:spacing w:before="260" w:after="100"/>
      </w:pPr>
      <w:r>
        <w:t xml:space="preserve">0.3 Prohibición absoluta de cifras de precio</w:t>
      </w:r>
    </w:p>
    <w:p>
      <w:pPr>
        <w:spacing w:before="0" w:after="140" w:line="264" w:lineRule="auto"/>
      </w:pPr>
      <w:r>
        <w:rPr>
          <w:b/>
        </w:rPr>
        <w:t xml:space="preserve">Ninguna sección de este archivo destinada al Informe 1 contiene cifras en pesos.</w:t>
      </w:r>
      <w:r>
        <w:t xml:space="preserve"> El Art. 50.2 de las Bases Administrativas lo sanciona con causal de exclusión. Todo el material económico está aislado en la </w:t>
      </w:r>
      <w:r>
        <w:rPr>
          <w:b/>
        </w:rPr>
        <w:t xml:space="preserve">§10, marcada como NO VA AL INFORME 1</w:t>
      </w:r>
      <w:r>
        <w:t xml:space="preserve">, y su destino es el Informe 3 / Sobre N.º 3.</w:t>
      </w:r>
    </w:p>
    <w:p>
      <w:pPr>
        <w:spacing w:before="0" w:after="140" w:line="264" w:lineRule="auto"/>
      </w:pPr>
      <w:r>
        <w:t xml:space="preserve">Hay un conflicto abierto sobre esto que es consulta, no decisión nuestra: </w:t>
      </w:r>
      <w:r>
        <w:rPr>
          <w:b/>
        </w:rPr>
        <w:t xml:space="preserve">RT-08.10</w:t>
      </w:r>
      <w:r>
        <w:t xml:space="preserve"> (transversal, pág. 19/51) obliga a declarar el «costo unitario estimado» de cada dispositivo de terreno dentro de la especificación técnica.</w:t>
      </w:r>
    </w:p>
    <w:p>
      <w:pPr>
        <w:pStyle w:val="Heading2"/>
        <w:keepNext/>
        <w:spacing w:before="260" w:after="100"/>
      </w:pPr>
      <w:r>
        <w:t xml:space="preserve">0.4 Lo que NO vamos a inventar</w:t>
      </w:r>
    </w:p>
    <w:p>
      <w:pPr>
        <w:ind w:left="340"/>
        <w:spacing w:before="20" w:after="60"/>
      </w:pPr>
      <w:r>
        <w:t xml:space="preserve">•  </w:t>
      </w:r>
      <w:r>
        <w:rPr>
          <w:b/>
        </w:rPr>
        <w:t xml:space="preserve">No existe inventario del parque telemático de los 226 camiones de terceros.</w:t>
      </w:r>
      <w:r>
        <w:t xml:space="preserve"> El caso solo</w:t>
      </w:r>
    </w:p>
    <w:p>
      <w:pPr>
        <w:spacing w:before="0" w:after="140" w:line="264" w:lineRule="auto"/>
      </w:pPr>
      <w:r>
        <w:t xml:space="preserve">dice que hay tres proveedores, uno contratado por la compañía y dos por los dueños, que en uno no se puede exportar, y que 34 camiones no tienen nada (Cap. 5, pág. 12/49). Marca, modelo, protocolo y almacenamiento: </w:t>
      </w:r>
      <w:r>
        <w:rPr>
          <w:b/>
        </w:rPr>
        <w:t xml:space="preserve">desconocidos</w:t>
      </w:r>
      <w:r>
        <w:t xml:space="preserve">. No se fabrican.</w:t>
      </w:r>
    </w:p>
    <w:p>
      <w:pPr>
        <w:ind w:left="340"/>
        <w:spacing w:before="20" w:after="60"/>
      </w:pPr>
      <w:r>
        <w:t xml:space="preserve">•  </w:t>
      </w:r>
      <w:r>
        <w:rPr>
          <w:b/>
        </w:rPr>
        <w:t xml:space="preserve">No hay medición de cobertura móvil.</w:t>
      </w:r>
      <w:r>
        <w:t xml:space="preserve"> Cualquier cifra de cuántas unidades necesitan capa</w:t>
      </w:r>
    </w:p>
    <w:p>
      <w:pPr>
        <w:spacing w:before="0" w:after="140" w:line="264" w:lineRule="auto"/>
      </w:pPr>
      <w:r>
        <w:t xml:space="preserve">satelital es supuesto hasta que se ejecute la campaña de RT-03.24.</w:t>
      </w:r>
    </w:p>
    <w:p>
      <w:pPr>
        <w:pBdr>
          <w:bottom w:val="single" w:sz="6" w:space="1" w:color="C8D2DE"/>
        </w:pBdr>
        <w:spacing w:before="160" w:after="160"/>
      </w:pPr>
    </w:p>
    <w:p>
      <w:pPr>
        <w:pStyle w:val="Heading2"/>
        <w:keepNext/>
        <w:spacing w:before="260" w:after="100"/>
      </w:pPr>
      <w:r>
        <w:t xml:space="preserve">0.5 Auditoría de cobertura de las fuentes obligatorias</w:t>
      </w:r>
    </w:p>
    <w:p>
      <w:pPr>
        <w:spacing w:before="0" w:after="140" w:line="264" w:lineRule="auto"/>
      </w:pPr>
      <w:r>
        <w:t xml:space="preserve">El plan de trabajo (pág. 5/9) fija seis capítulos transversales como fuente obligatoria de D4. Esta es la cobertura </w:t>
      </w:r>
      <w:r>
        <w:rPr>
          <w:b/>
        </w:rPr>
        <w:t xml:space="preserve">antes</w:t>
      </w:r>
      <w:r>
        <w:t xml:space="preserve"> y </w:t>
      </w:r>
      <w:r>
        <w:rPr>
          <w:b/>
        </w:rPr>
        <w:t xml:space="preserve">después</w:t>
      </w:r>
      <w:r>
        <w:t xml:space="preserve"> de la revisión del 01-09:</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Capítulo transversal</w:t>
            </w:r>
          </w:p>
        </w:tc>
        <w:tc>
          <w:tcPr>
            <w:tcW w:w="2337" w:type="dxa"/>
            <w:shd w:val="clear" w:fill="EDF2F8"/>
            <w:vAlign w:val="top"/>
          </w:tcPr>
          <w:p>
            <w:pPr>
              <w:spacing w:before="40" w:after="40"/>
              <w:rPr>
                <w:sz w:val="18"/>
              </w:rPr>
            </w:pPr>
            <w:r>
              <w:rPr>
                <w:b/>
                <w:sz w:val="18"/>
                <w:szCs w:val="18"/>
              </w:rPr>
              <w:t xml:space="preserve">Requisitos</w:t>
            </w:r>
          </w:p>
        </w:tc>
        <w:tc>
          <w:tcPr>
            <w:tcW w:w="2337" w:type="dxa"/>
            <w:shd w:val="clear" w:fill="EDF2F8"/>
            <w:vAlign w:val="top"/>
          </w:tcPr>
          <w:p>
            <w:pPr>
              <w:spacing w:before="40" w:after="40"/>
              <w:rPr>
                <w:sz w:val="18"/>
              </w:rPr>
            </w:pPr>
            <w:r>
              <w:rPr>
                <w:b/>
                <w:sz w:val="18"/>
                <w:szCs w:val="18"/>
              </w:rPr>
              <w:t xml:space="preserve">Antes</w:t>
            </w:r>
          </w:p>
        </w:tc>
        <w:tc>
          <w:tcPr>
            <w:tcW w:w="2337" w:type="dxa"/>
            <w:shd w:val="clear" w:fill="EDF2F8"/>
            <w:vAlign w:val="top"/>
          </w:tcPr>
          <w:p>
            <w:pPr>
              <w:spacing w:before="40" w:after="40"/>
              <w:rPr>
                <w:sz w:val="18"/>
              </w:rPr>
            </w:pPr>
            <w:r>
              <w:rPr>
                <w:b/>
                <w:sz w:val="18"/>
                <w:szCs w:val="18"/>
              </w:rPr>
              <w:t xml:space="preserve">Ahora</w:t>
            </w:r>
          </w:p>
        </w:tc>
      </w:tr>
      <w:tr>
        <w:trPr>
          <w:cantSplit/>
        </w:trPr>
        <w:tc>
          <w:tcPr>
            <w:tcW w:w="2337" w:type="dxa"/>
            <w:vAlign w:val="top"/>
          </w:tcPr>
          <w:p>
            <w:pPr>
              <w:spacing w:before="40" w:after="40"/>
              <w:rPr>
                <w:sz w:val="18"/>
              </w:rPr>
            </w:pPr>
            <w:r>
              <w:rPr>
                <w:sz w:val="18"/>
                <w:szCs w:val="18"/>
              </w:rPr>
              <w:t xml:space="preserve">Cap. 3 — Modelo híbrido y conectividad</w:t>
            </w:r>
          </w:p>
        </w:tc>
        <w:tc>
          <w:tcPr>
            <w:tcW w:w="2337" w:type="dxa"/>
            <w:vAlign w:val="top"/>
          </w:tcPr>
          <w:p>
            <w:pPr>
              <w:spacing w:before="40" w:after="40"/>
              <w:rPr>
                <w:sz w:val="18"/>
              </w:rPr>
            </w:pPr>
            <w:r>
              <w:rPr>
                <w:sz w:val="18"/>
                <w:szCs w:val="18"/>
              </w:rPr>
              <w:t xml:space="preserve">24</w:t>
            </w:r>
          </w:p>
        </w:tc>
        <w:tc>
          <w:tcPr>
            <w:tcW w:w="2337" w:type="dxa"/>
            <w:vAlign w:val="top"/>
          </w:tcPr>
          <w:p>
            <w:pPr>
              <w:spacing w:before="40" w:after="40"/>
              <w:rPr>
                <w:sz w:val="18"/>
              </w:rPr>
            </w:pPr>
            <w:r>
              <w:rPr>
                <w:sz w:val="18"/>
                <w:szCs w:val="18"/>
              </w:rPr>
              <w:t xml:space="preserve">21</w:t>
            </w:r>
          </w:p>
        </w:tc>
        <w:tc>
          <w:tcPr>
            <w:tcW w:w="2337" w:type="dxa"/>
            <w:vAlign w:val="top"/>
          </w:tcPr>
          <w:p>
            <w:pPr>
              <w:spacing w:before="40" w:after="40"/>
              <w:rPr>
                <w:sz w:val="18"/>
              </w:rPr>
            </w:pPr>
            <w:r>
              <w:rPr>
                <w:b/>
                <w:sz w:val="18"/>
                <w:szCs w:val="18"/>
              </w:rPr>
              <w:t xml:space="preserve">24</w:t>
            </w:r>
          </w:p>
        </w:tc>
      </w:tr>
      <w:tr>
        <w:trPr>
          <w:cantSplit/>
        </w:trPr>
        <w:tc>
          <w:tcPr>
            <w:tcW w:w="2337" w:type="dxa"/>
            <w:vAlign w:val="top"/>
          </w:tcPr>
          <w:p>
            <w:pPr>
              <w:spacing w:before="40" w:after="40"/>
              <w:rPr>
                <w:sz w:val="18"/>
              </w:rPr>
            </w:pPr>
            <w:r>
              <w:rPr>
                <w:sz w:val="18"/>
                <w:szCs w:val="18"/>
              </w:rPr>
              <w:t xml:space="preserve">Cap. 6 — Site principal on-premise</w:t>
            </w:r>
          </w:p>
        </w:tc>
        <w:tc>
          <w:tcPr>
            <w:tcW w:w="2337" w:type="dxa"/>
            <w:vAlign w:val="top"/>
          </w:tcPr>
          <w:p>
            <w:pPr>
              <w:spacing w:before="40" w:after="40"/>
              <w:rPr>
                <w:sz w:val="18"/>
              </w:rPr>
            </w:pPr>
            <w:r>
              <w:rPr>
                <w:sz w:val="18"/>
                <w:szCs w:val="18"/>
              </w:rPr>
              <w:t xml:space="preserve">34</w:t>
            </w:r>
          </w:p>
        </w:tc>
        <w:tc>
          <w:tcPr>
            <w:tcW w:w="2337" w:type="dxa"/>
            <w:vAlign w:val="top"/>
          </w:tcPr>
          <w:p>
            <w:pPr>
              <w:spacing w:before="40" w:after="40"/>
              <w:rPr>
                <w:sz w:val="18"/>
              </w:rPr>
            </w:pPr>
            <w:r>
              <w:rPr>
                <w:sz w:val="18"/>
                <w:szCs w:val="18"/>
              </w:rPr>
              <w:t xml:space="preserve">25</w:t>
            </w:r>
          </w:p>
        </w:tc>
        <w:tc>
          <w:tcPr>
            <w:tcW w:w="2337" w:type="dxa"/>
            <w:vAlign w:val="top"/>
          </w:tcPr>
          <w:p>
            <w:pPr>
              <w:spacing w:before="40" w:after="40"/>
              <w:rPr>
                <w:sz w:val="18"/>
              </w:rPr>
            </w:pPr>
            <w:r>
              <w:rPr>
                <w:b/>
                <w:sz w:val="18"/>
                <w:szCs w:val="18"/>
              </w:rPr>
              <w:t xml:space="preserve">34</w:t>
            </w:r>
          </w:p>
        </w:tc>
      </w:tr>
      <w:tr>
        <w:trPr>
          <w:cantSplit/>
        </w:trPr>
        <w:tc>
          <w:tcPr>
            <w:tcW w:w="2337" w:type="dxa"/>
            <w:vAlign w:val="top"/>
          </w:tcPr>
          <w:p>
            <w:pPr>
              <w:spacing w:before="40" w:after="40"/>
              <w:rPr>
                <w:sz w:val="18"/>
              </w:rPr>
            </w:pPr>
            <w:r>
              <w:rPr>
                <w:sz w:val="18"/>
                <w:szCs w:val="18"/>
              </w:rPr>
              <w:t xml:space="preserve">Cap. 7 — Site secundario y DR</w:t>
            </w:r>
          </w:p>
        </w:tc>
        <w:tc>
          <w:tcPr>
            <w:tcW w:w="2337" w:type="dxa"/>
            <w:vAlign w:val="top"/>
          </w:tcPr>
          <w:p>
            <w:pPr>
              <w:spacing w:before="40" w:after="40"/>
              <w:rPr>
                <w:sz w:val="18"/>
              </w:rPr>
            </w:pPr>
            <w:r>
              <w:rPr>
                <w:sz w:val="18"/>
                <w:szCs w:val="18"/>
              </w:rPr>
              <w:t xml:space="preserve">14</w:t>
            </w:r>
          </w:p>
        </w:tc>
        <w:tc>
          <w:tcPr>
            <w:tcW w:w="2337" w:type="dxa"/>
            <w:vAlign w:val="top"/>
          </w:tcPr>
          <w:p>
            <w:pPr>
              <w:spacing w:before="40" w:after="40"/>
              <w:rPr>
                <w:sz w:val="18"/>
              </w:rPr>
            </w:pPr>
            <w:r>
              <w:rPr>
                <w:sz w:val="18"/>
                <w:szCs w:val="18"/>
              </w:rPr>
              <w:t xml:space="preserve">7</w:t>
            </w:r>
          </w:p>
        </w:tc>
        <w:tc>
          <w:tcPr>
            <w:tcW w:w="2337" w:type="dxa"/>
            <w:vAlign w:val="top"/>
          </w:tcPr>
          <w:p>
            <w:pPr>
              <w:spacing w:before="40" w:after="40"/>
              <w:rPr>
                <w:sz w:val="18"/>
              </w:rPr>
            </w:pPr>
            <w:r>
              <w:rPr>
                <w:b/>
                <w:sz w:val="18"/>
                <w:szCs w:val="18"/>
              </w:rPr>
              <w:t xml:space="preserve">14</w:t>
            </w:r>
          </w:p>
        </w:tc>
      </w:tr>
      <w:tr>
        <w:trPr>
          <w:cantSplit/>
        </w:trPr>
        <w:tc>
          <w:tcPr>
            <w:tcW w:w="2337" w:type="dxa"/>
            <w:vAlign w:val="top"/>
          </w:tcPr>
          <w:p>
            <w:pPr>
              <w:spacing w:before="40" w:after="40"/>
              <w:rPr>
                <w:sz w:val="18"/>
              </w:rPr>
            </w:pPr>
            <w:r>
              <w:rPr>
                <w:sz w:val="18"/>
                <w:szCs w:val="18"/>
              </w:rPr>
              <w:t xml:space="preserve">Cap. 8 — Hardware, puestos y equipamiento de terreno</w:t>
            </w:r>
          </w:p>
        </w:tc>
        <w:tc>
          <w:tcPr>
            <w:tcW w:w="2337" w:type="dxa"/>
            <w:vAlign w:val="top"/>
          </w:tcPr>
          <w:p>
            <w:pPr>
              <w:spacing w:before="40" w:after="40"/>
              <w:rPr>
                <w:sz w:val="18"/>
              </w:rPr>
            </w:pPr>
            <w:r>
              <w:rPr>
                <w:sz w:val="18"/>
                <w:szCs w:val="18"/>
              </w:rPr>
              <w:t xml:space="preserve">19</w:t>
            </w:r>
          </w:p>
        </w:tc>
        <w:tc>
          <w:tcPr>
            <w:tcW w:w="2337" w:type="dxa"/>
            <w:vAlign w:val="top"/>
          </w:tcPr>
          <w:p>
            <w:pPr>
              <w:spacing w:before="40" w:after="40"/>
              <w:rPr>
                <w:sz w:val="18"/>
              </w:rPr>
            </w:pPr>
            <w:r>
              <w:rPr>
                <w:sz w:val="18"/>
                <w:szCs w:val="18"/>
              </w:rPr>
              <w:t xml:space="preserve">9</w:t>
            </w:r>
          </w:p>
        </w:tc>
        <w:tc>
          <w:tcPr>
            <w:tcW w:w="2337" w:type="dxa"/>
            <w:vAlign w:val="top"/>
          </w:tcPr>
          <w:p>
            <w:pPr>
              <w:spacing w:before="40" w:after="40"/>
              <w:rPr>
                <w:sz w:val="18"/>
              </w:rPr>
            </w:pPr>
            <w:r>
              <w:rPr>
                <w:b/>
                <w:sz w:val="18"/>
                <w:szCs w:val="18"/>
              </w:rPr>
              <w:t xml:space="preserve">19</w:t>
            </w:r>
          </w:p>
        </w:tc>
      </w:tr>
      <w:tr>
        <w:trPr>
          <w:cantSplit/>
        </w:trPr>
        <w:tc>
          <w:tcPr>
            <w:tcW w:w="2337" w:type="dxa"/>
            <w:vAlign w:val="top"/>
          </w:tcPr>
          <w:p>
            <w:pPr>
              <w:spacing w:before="40" w:after="40"/>
              <w:rPr>
                <w:sz w:val="18"/>
              </w:rPr>
            </w:pPr>
            <w:r>
              <w:rPr>
                <w:sz w:val="18"/>
                <w:szCs w:val="18"/>
              </w:rPr>
              <w:t xml:space="preserve">Cap. 9 — Desempeño, capacidad y escalabilidad</w:t>
            </w:r>
          </w:p>
        </w:tc>
        <w:tc>
          <w:tcPr>
            <w:tcW w:w="2337" w:type="dxa"/>
            <w:vAlign w:val="top"/>
          </w:tcPr>
          <w:p>
            <w:pPr>
              <w:spacing w:before="40" w:after="40"/>
              <w:rPr>
                <w:sz w:val="18"/>
              </w:rPr>
            </w:pPr>
            <w:r>
              <w:rPr>
                <w:sz w:val="18"/>
                <w:szCs w:val="18"/>
              </w:rPr>
              <w:t xml:space="preserve">10</w:t>
            </w:r>
          </w:p>
        </w:tc>
        <w:tc>
          <w:tcPr>
            <w:tcW w:w="2337" w:type="dxa"/>
            <w:vAlign w:val="top"/>
          </w:tcPr>
          <w:p>
            <w:pPr>
              <w:spacing w:before="40" w:after="40"/>
              <w:rPr>
                <w:sz w:val="18"/>
              </w:rPr>
            </w:pPr>
            <w:r>
              <w:rPr>
                <w:sz w:val="18"/>
                <w:szCs w:val="18"/>
              </w:rPr>
              <w:t xml:space="preserve">0</w:t>
            </w:r>
          </w:p>
        </w:tc>
        <w:tc>
          <w:tcPr>
            <w:tcW w:w="2337" w:type="dxa"/>
            <w:vAlign w:val="top"/>
          </w:tcPr>
          <w:p>
            <w:pPr>
              <w:spacing w:before="40" w:after="40"/>
              <w:rPr>
                <w:sz w:val="18"/>
              </w:rPr>
            </w:pPr>
            <w:r>
              <w:rPr>
                <w:b/>
                <w:sz w:val="18"/>
                <w:szCs w:val="18"/>
              </w:rPr>
              <w:t xml:space="preserve">10</w:t>
            </w:r>
          </w:p>
        </w:tc>
      </w:tr>
      <w:tr>
        <w:trPr>
          <w:cantSplit/>
        </w:trPr>
        <w:tc>
          <w:tcPr>
            <w:tcW w:w="2337" w:type="dxa"/>
            <w:vAlign w:val="top"/>
          </w:tcPr>
          <w:p>
            <w:pPr>
              <w:spacing w:before="40" w:after="40"/>
              <w:rPr>
                <w:sz w:val="18"/>
              </w:rPr>
            </w:pPr>
            <w:r>
              <w:rPr>
                <w:sz w:val="18"/>
                <w:szCs w:val="18"/>
              </w:rPr>
              <w:t xml:space="preserve">Cap. 10 — Disponibilidad, continuidad y resiliencia</w:t>
            </w:r>
          </w:p>
        </w:tc>
        <w:tc>
          <w:tcPr>
            <w:tcW w:w="2337" w:type="dxa"/>
            <w:vAlign w:val="top"/>
          </w:tcPr>
          <w:p>
            <w:pPr>
              <w:spacing w:before="40" w:after="40"/>
              <w:rPr>
                <w:sz w:val="18"/>
              </w:rPr>
            </w:pPr>
            <w:r>
              <w:rPr>
                <w:sz w:val="18"/>
                <w:szCs w:val="18"/>
              </w:rPr>
              <w:t xml:space="preserve">9</w:t>
            </w:r>
          </w:p>
        </w:tc>
        <w:tc>
          <w:tcPr>
            <w:tcW w:w="2337" w:type="dxa"/>
            <w:vAlign w:val="top"/>
          </w:tcPr>
          <w:p>
            <w:pPr>
              <w:spacing w:before="40" w:after="40"/>
              <w:rPr>
                <w:sz w:val="18"/>
              </w:rPr>
            </w:pPr>
            <w:r>
              <w:rPr>
                <w:sz w:val="18"/>
                <w:szCs w:val="18"/>
              </w:rPr>
              <w:t xml:space="preserve">0</w:t>
            </w:r>
          </w:p>
        </w:tc>
        <w:tc>
          <w:tcPr>
            <w:tcW w:w="2337" w:type="dxa"/>
            <w:vAlign w:val="top"/>
          </w:tcPr>
          <w:p>
            <w:pPr>
              <w:spacing w:before="40" w:after="40"/>
              <w:rPr>
                <w:sz w:val="18"/>
              </w:rPr>
            </w:pPr>
            <w:r>
              <w:rPr>
                <w:b/>
                <w:sz w:val="18"/>
                <w:szCs w:val="18"/>
              </w:rPr>
              <w:t xml:space="preserve">9</w:t>
            </w:r>
          </w:p>
        </w:tc>
      </w:tr>
      <w:tr>
        <w:trPr>
          <w:cantSplit/>
        </w:trPr>
        <w:tc>
          <w:tcPr>
            <w:tcW w:w="2337" w:type="dxa"/>
            <w:vAlign w:val="top"/>
          </w:tcPr>
          <w:p>
            <w:pPr>
              <w:spacing w:before="40" w:after="40"/>
              <w:rPr>
                <w:sz w:val="18"/>
              </w:rPr>
            </w:pPr>
            <w:r>
              <w:rPr>
                <w:b/>
                <w:sz w:val="18"/>
                <w:szCs w:val="18"/>
              </w:rPr>
              <w:t xml:space="preserve">Total</w:t>
            </w:r>
          </w:p>
        </w:tc>
        <w:tc>
          <w:tcPr>
            <w:tcW w:w="2337" w:type="dxa"/>
            <w:vAlign w:val="top"/>
          </w:tcPr>
          <w:p>
            <w:pPr>
              <w:spacing w:before="40" w:after="40"/>
              <w:rPr>
                <w:sz w:val="18"/>
              </w:rPr>
            </w:pPr>
            <w:r>
              <w:rPr>
                <w:b/>
                <w:sz w:val="18"/>
                <w:szCs w:val="18"/>
              </w:rPr>
              <w:t xml:space="preserve">110</w:t>
            </w:r>
          </w:p>
        </w:tc>
        <w:tc>
          <w:tcPr>
            <w:tcW w:w="2337" w:type="dxa"/>
            <w:vAlign w:val="top"/>
          </w:tcPr>
          <w:p>
            <w:pPr>
              <w:spacing w:before="40" w:after="40"/>
              <w:rPr>
                <w:sz w:val="18"/>
              </w:rPr>
            </w:pPr>
            <w:r>
              <w:rPr>
                <w:b/>
                <w:sz w:val="18"/>
                <w:szCs w:val="18"/>
              </w:rPr>
              <w:t xml:space="preserve">62 (56 %)</w:t>
            </w:r>
          </w:p>
        </w:tc>
        <w:tc>
          <w:tcPr>
            <w:tcW w:w="2337" w:type="dxa"/>
            <w:vAlign w:val="top"/>
          </w:tcPr>
          <w:p>
            <w:pPr>
              <w:spacing w:before="40" w:after="40"/>
              <w:rPr>
                <w:sz w:val="18"/>
              </w:rPr>
            </w:pPr>
            <w:r>
              <w:rPr>
                <w:b/>
                <w:sz w:val="18"/>
                <w:szCs w:val="18"/>
              </w:rPr>
              <w:t xml:space="preserve">110 (100 %)</w:t>
            </w:r>
          </w:p>
        </w:tc>
      </w:tr>
    </w:tbl>
    <w:p>
      <w:pPr>
        <w:spacing w:before="0" w:after="100"/>
      </w:pPr>
    </w:p>
    <w:p>
      <w:pPr>
        <w:spacing w:before="0" w:after="140" w:line="264" w:lineRule="auto"/>
      </w:pPr>
      <w:r>
        <w:t xml:space="preserve">Los caps. 9 y 10 figuraban como cubiertos porque se citaban RT-09.01 y RT-10.05, pero esos eran los códigos </w:t>
      </w:r>
      <w:r>
        <w:rPr>
          <w:b/>
        </w:rPr>
        <w:t xml:space="preserve">del Caso</w:t>
      </w:r>
      <w:r>
        <w:t xml:space="preserve">, que según §11.1 no corresponden a los transversales homónimos. Del documento transversal no había nada.</w:t>
      </w:r>
    </w:p>
    <w:p>
      <w:pPr>
        <w:spacing w:before="0" w:after="140" w:line="264" w:lineRule="auto"/>
      </w:pPr>
      <w:r>
        <w:rPr>
          <w:b/>
        </w:rPr>
        <w:t xml:space="preserve">D4 se trabaja como una sola unidad.</w:t>
      </w:r>
      <w:r>
        <w:t xml:space="preserve"> El reparto interno entre las dos personas queda sin efecto para efectos de este documento: hay entregables —la política de respaldos, los puestos de trabajo, los caps. 9 y 10— que no estaban asignados a nadie y que son fuente obligatoria.</w:t>
      </w:r>
    </w:p>
    <w:p>
      <w:pPr>
        <w:pStyle w:val="Heading2"/>
        <w:keepNext/>
        <w:spacing w:before="260" w:after="100"/>
      </w:pPr>
      <w:r>
        <w:t xml:space="preserve">0.6 Procedencia de los datos — cómo leer las marcas</w:t>
      </w:r>
    </w:p>
    <w:p>
      <w:pPr>
        <w:spacing w:before="0" w:after="140" w:line="264" w:lineRule="auto"/>
      </w:pPr>
      <w:r>
        <w:t xml:space="preserve">Toda cifra de este documento pertenece a uno de cuatro niveles. </w:t>
      </w:r>
      <w:r>
        <w:rPr>
          <w:b/>
        </w:rPr>
        <w:t xml:space="preserve">La marca aparece junto al dato salvo en el nivel [B], donde la cita de página cumple esa función.</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Marca</w:t>
            </w:r>
          </w:p>
        </w:tc>
        <w:tc>
          <w:tcPr>
            <w:tcW w:w="3116" w:type="dxa"/>
            <w:shd w:val="clear" w:fill="EDF2F8"/>
            <w:vAlign w:val="top"/>
          </w:tcPr>
          <w:p>
            <w:pPr>
              <w:spacing w:before="40" w:after="40"/>
              <w:rPr>
                <w:sz w:val="18"/>
              </w:rPr>
            </w:pPr>
            <w:r>
              <w:rPr>
                <w:b/>
                <w:sz w:val="18"/>
                <w:szCs w:val="18"/>
              </w:rPr>
              <w:t xml:space="preserve">Significado</w:t>
            </w:r>
          </w:p>
        </w:tc>
        <w:tc>
          <w:tcPr>
            <w:tcW w:w="3116" w:type="dxa"/>
            <w:shd w:val="clear" w:fill="EDF2F8"/>
            <w:vAlign w:val="top"/>
          </w:tcPr>
          <w:p>
            <w:pPr>
              <w:spacing w:before="40" w:after="40"/>
              <w:rPr>
                <w:sz w:val="18"/>
              </w:rPr>
            </w:pPr>
            <w:r>
              <w:rPr>
                <w:b/>
                <w:sz w:val="18"/>
                <w:szCs w:val="18"/>
              </w:rPr>
              <w:t xml:space="preserve">Se puede citar en el informe</w:t>
            </w:r>
          </w:p>
        </w:tc>
      </w:tr>
      <w:tr>
        <w:trPr>
          <w:cantSplit/>
        </w:trPr>
        <w:tc>
          <w:tcPr>
            <w:tcW w:w="3116" w:type="dxa"/>
            <w:vAlign w:val="top"/>
          </w:tcPr>
          <w:p>
            <w:pPr>
              <w:spacing w:before="40" w:after="40"/>
              <w:rPr>
                <w:sz w:val="18"/>
              </w:rPr>
            </w:pPr>
            <w:r>
              <w:rPr>
                <w:b/>
                <w:sz w:val="18"/>
                <w:szCs w:val="18"/>
              </w:rPr>
              <w:t xml:space="preserve">[B]</w:t>
            </w:r>
          </w:p>
        </w:tc>
        <w:tc>
          <w:tcPr>
            <w:tcW w:w="3116" w:type="dxa"/>
            <w:vAlign w:val="top"/>
          </w:tcPr>
          <w:p>
            <w:pPr>
              <w:spacing w:before="40" w:after="40"/>
              <w:rPr>
                <w:sz w:val="18"/>
              </w:rPr>
            </w:pPr>
            <w:r>
              <w:rPr>
                <w:sz w:val="18"/>
                <w:szCs w:val="18"/>
              </w:rPr>
              <w:t xml:space="preserve">Verificado en los PDF de las bases. Lleva capítulo, numeral y página.</w:t>
            </w:r>
          </w:p>
        </w:tc>
        <w:tc>
          <w:tcPr>
            <w:tcW w:w="3116" w:type="dxa"/>
            <w:vAlign w:val="top"/>
          </w:tcPr>
          <w:p>
            <w:pPr>
              <w:spacing w:before="40" w:after="40"/>
              <w:rPr>
                <w:sz w:val="18"/>
              </w:rPr>
            </w:pPr>
            <w:r>
              <w:rPr>
                <w:sz w:val="18"/>
                <w:szCs w:val="18"/>
              </w:rPr>
              <w:t xml:space="preserve">Sí</w:t>
            </w:r>
          </w:p>
        </w:tc>
      </w:tr>
      <w:tr>
        <w:trPr>
          <w:cantSplit/>
        </w:trPr>
        <w:tc>
          <w:tcPr>
            <w:tcW w:w="3116" w:type="dxa"/>
            <w:vAlign w:val="top"/>
          </w:tcPr>
          <w:p>
            <w:pPr>
              <w:spacing w:before="40" w:after="40"/>
              <w:rPr>
                <w:sz w:val="18"/>
              </w:rPr>
            </w:pPr>
            <w:r>
              <w:rPr>
                <w:b/>
                <w:sz w:val="18"/>
                <w:szCs w:val="18"/>
              </w:rPr>
              <w:t xml:space="preserve">[F]</w:t>
            </w:r>
          </w:p>
        </w:tc>
        <w:tc>
          <w:tcPr>
            <w:tcW w:w="3116" w:type="dxa"/>
            <w:vAlign w:val="top"/>
          </w:tcPr>
          <w:p>
            <w:pPr>
              <w:spacing w:before="40" w:after="40"/>
              <w:rPr>
                <w:sz w:val="18"/>
              </w:rPr>
            </w:pPr>
            <w:r>
              <w:rPr>
                <w:sz w:val="18"/>
                <w:szCs w:val="18"/>
              </w:rPr>
              <w:t xml:space="preserve">Verificado en fuente externa durante el análisis (ficha del fabricante, sitio del proveedor, especificación pública).</w:t>
            </w:r>
          </w:p>
        </w:tc>
        <w:tc>
          <w:tcPr>
            <w:tcW w:w="3116" w:type="dxa"/>
            <w:vAlign w:val="top"/>
          </w:tcPr>
          <w:p>
            <w:pPr>
              <w:spacing w:before="40" w:after="40"/>
              <w:rPr>
                <w:sz w:val="18"/>
              </w:rPr>
            </w:pPr>
            <w:r>
              <w:rPr>
                <w:sz w:val="18"/>
                <w:szCs w:val="18"/>
              </w:rPr>
              <w:t xml:space="preserve">Sí, citando la fuente en APA</w:t>
            </w:r>
          </w:p>
        </w:tc>
      </w:tr>
      <w:tr>
        <w:trPr>
          <w:cantSplit/>
        </w:trPr>
        <w:tc>
          <w:tcPr>
            <w:tcW w:w="3116" w:type="dxa"/>
            <w:vAlign w:val="top"/>
          </w:tcPr>
          <w:p>
            <w:pPr>
              <w:spacing w:before="40" w:after="40"/>
              <w:rPr>
                <w:sz w:val="18"/>
              </w:rPr>
            </w:pPr>
            <w:r>
              <w:rPr>
                <w:b/>
                <w:sz w:val="18"/>
                <w:szCs w:val="18"/>
              </w:rPr>
              <w:t xml:space="preserve">[S]</w:t>
            </w:r>
          </w:p>
        </w:tc>
        <w:tc>
          <w:tcPr>
            <w:tcW w:w="3116" w:type="dxa"/>
            <w:vAlign w:val="top"/>
          </w:tcPr>
          <w:p>
            <w:pPr>
              <w:spacing w:before="40" w:after="40"/>
              <w:rPr>
                <w:sz w:val="18"/>
              </w:rPr>
            </w:pPr>
            <w:r>
              <w:rPr>
                <w:sz w:val="18"/>
                <w:szCs w:val="18"/>
              </w:rPr>
              <w:t xml:space="preserve">Supuesto de D4, con derivación explícita en §7.</w:t>
            </w:r>
          </w:p>
        </w:tc>
        <w:tc>
          <w:tcPr>
            <w:tcW w:w="3116" w:type="dxa"/>
            <w:vAlign w:val="top"/>
          </w:tcPr>
          <w:p>
            <w:pPr>
              <w:spacing w:before="40" w:after="40"/>
              <w:rPr>
                <w:sz w:val="18"/>
              </w:rPr>
            </w:pPr>
            <w:r>
              <w:rPr>
                <w:sz w:val="18"/>
                <w:szCs w:val="18"/>
              </w:rPr>
              <w:t xml:space="preserve">Sí, </w:t>
            </w:r>
            <w:r>
              <w:rPr>
                <w:b/>
                <w:sz w:val="18"/>
                <w:szCs w:val="18"/>
              </w:rPr>
              <w:t xml:space="preserve">declarado como supuesto</w:t>
            </w:r>
          </w:p>
        </w:tc>
      </w:tr>
      <w:tr>
        <w:trPr>
          <w:cantSplit/>
        </w:trPr>
        <w:tc>
          <w:tcPr>
            <w:tcW w:w="3116" w:type="dxa"/>
            <w:vAlign w:val="top"/>
          </w:tcPr>
          <w:p>
            <w:pPr>
              <w:spacing w:before="40" w:after="40"/>
              <w:rPr>
                <w:sz w:val="18"/>
              </w:rPr>
            </w:pPr>
            <w:r>
              <w:rPr>
                <w:b/>
                <w:sz w:val="18"/>
                <w:szCs w:val="18"/>
              </w:rPr>
              <w:t xml:space="preserve">[?]</w:t>
            </w:r>
          </w:p>
        </w:tc>
        <w:tc>
          <w:tcPr>
            <w:tcW w:w="3116" w:type="dxa"/>
            <w:vAlign w:val="top"/>
          </w:tcPr>
          <w:p>
            <w:pPr>
              <w:spacing w:before="40" w:after="40"/>
              <w:rPr>
                <w:sz w:val="18"/>
              </w:rPr>
            </w:pPr>
            <w:r>
              <w:rPr>
                <w:sz w:val="18"/>
                <w:szCs w:val="18"/>
              </w:rPr>
              <w:t xml:space="preserve">Escrito de memoria, </w:t>
            </w:r>
            <w:r>
              <w:rPr>
                <w:b/>
                <w:sz w:val="18"/>
                <w:szCs w:val="18"/>
              </w:rPr>
              <w:t xml:space="preserve">sin verificar</w:t>
            </w:r>
            <w:r>
              <w:rPr>
                <w:sz w:val="18"/>
                <w:szCs w:val="18"/>
              </w:rPr>
              <w:t xml:space="preserve">.</w:t>
            </w:r>
          </w:p>
        </w:tc>
        <w:tc>
          <w:tcPr>
            <w:tcW w:w="3116" w:type="dxa"/>
            <w:vAlign w:val="top"/>
          </w:tcPr>
          <w:p>
            <w:pPr>
              <w:spacing w:before="40" w:after="40"/>
              <w:rPr>
                <w:sz w:val="18"/>
              </w:rPr>
            </w:pPr>
            <w:r>
              <w:rPr>
                <w:b/>
                <w:sz w:val="18"/>
                <w:szCs w:val="18"/>
              </w:rPr>
              <w:t xml:space="preserve">No.</w:t>
            </w:r>
            <w:r>
              <w:rPr>
                <w:sz w:val="18"/>
                <w:szCs w:val="18"/>
              </w:rPr>
              <w:t xml:space="preserve"> Verificar o eliminar antes de la entrega</w:t>
            </w:r>
          </w:p>
        </w:tc>
      </w:tr>
    </w:tbl>
    <w:p>
      <w:pPr>
        <w:spacing w:before="0" w:after="100"/>
      </w:pPr>
    </w:p>
    <w:p>
      <w:pPr>
        <w:spacing w:before="0" w:after="140" w:line="264" w:lineRule="auto"/>
      </w:pPr>
      <w:r>
        <w:t xml:space="preserve">El registro completo de los niveles [F], [S] y [?] está en la </w:t>
      </w:r>
      <w:r>
        <w:rPr>
          <w:b/>
        </w:rPr>
        <w:t xml:space="preserve">§13</w:t>
      </w:r>
      <w:r>
        <w:t xml:space="preserve">. Los del nivel [?] son los únicos que bloquean: si llegan al informe sin comprobar, se está afirmando algo que nadie contrastó.</w:t>
      </w:r>
    </w:p>
    <w:p>
      <w:pPr>
        <w:pBdr>
          <w:bottom w:val="single" w:sz="6" w:space="1" w:color="C8D2DE"/>
        </w:pBdr>
        <w:spacing w:before="160" w:after="160"/>
      </w:pPr>
    </w:p>
    <w:p>
      <w:pPr>
        <w:pStyle w:val="Heading1"/>
        <w:keepNext/>
        <w:spacing w:before="320" w:after="120"/>
      </w:pPr>
      <w:r>
        <w:t xml:space="preserve">1. «Debe presentar la Empresa» — aporte de D4</w:t>
      </w:r>
    </w:p>
    <w:p>
      <w:pPr>
        <w:spacing w:before="0" w:after="140" w:line="264" w:lineRule="auto"/>
      </w:pPr>
      <w:r>
        <w:t xml:space="preserve">D1 escribe este capítulo. D4 aporta </w:t>
      </w:r>
      <w:r>
        <w:rPr>
          <w:b/>
        </w:rPr>
        <w:t xml:space="preserve">dos insumos</w:t>
      </w:r>
      <w:r>
        <w:t xml:space="preserve"> y nada más:</w:t>
      </w:r>
    </w:p>
    <w:p>
      <w:pPr>
        <w:ind w:left="340"/>
        <w:spacing w:before="20" w:after="60"/>
      </w:pPr>
      <w:r>
        <w:t xml:space="preserve">•  </w:t>
      </w:r>
      <w:r>
        <w:rPr>
          <w:b/>
        </w:rPr>
        <w:t xml:space="preserve">Capacidad instalada en infraestructura y terreno.</w:t>
      </w:r>
      <w:r>
        <w:t xml:space="preserve"> Que el proponente acredite experiencia</w:t>
      </w:r>
    </w:p>
    <w:p>
      <w:pPr>
        <w:spacing w:before="0" w:after="140" w:line="264" w:lineRule="auto"/>
      </w:pPr>
      <w:r>
        <w:t xml:space="preserve">en telemática de flotas y en operación desconectada prolongada no es autoelogio: </w:t>
      </w:r>
      <w:r>
        <w:rPr>
          <w:b/>
        </w:rPr>
        <w:t xml:space="preserve">RT-15.02</w:t>
      </w:r>
      <w:r>
        <w:t xml:space="preserve"> del Caso (pág. 33/49) lo exige como certificación sectorial del adjudicatario, junto con «conocimiento acreditado del régimen especial de jornada del conductor de carga y del reglamento de transporte de sustancias peligrosas».</w:t>
      </w:r>
    </w:p>
    <w:p>
      <w:pPr>
        <w:ind w:left="340"/>
        <w:spacing w:before="20" w:after="60"/>
      </w:pPr>
      <w:r>
        <w:t xml:space="preserve">•  </w:t>
      </w:r>
      <w:r>
        <w:rPr>
          <w:b/>
        </w:rPr>
        <w:t xml:space="preserve">Modelo de soporte de terreno.</w:t>
      </w:r>
      <w:r>
        <w:t xml:space="preserve"> Cinco terminales entre Antofagasta y Puerto Montt, más de</w:t>
      </w:r>
    </w:p>
    <w:p>
      <w:pPr>
        <w:spacing w:before="0" w:after="140" w:line="264" w:lineRule="auto"/>
      </w:pPr>
      <w:r>
        <w:t xml:space="preserve">2.500 km entre extremos, e intervención sobre camiones en ruta cuya llegada a terminal no es programable (</w:t>
      </w:r>
      <w:r>
        <w:rPr>
          <w:b/>
        </w:rPr>
        <w:t xml:space="preserve">RT-21.16</w:t>
      </w:r>
      <w:r>
        <w:t xml:space="preserve">, pág. 34/49). Esto condiciona la estructura de la empresa que se presenta en el subdoc. 1.</w:t>
      </w:r>
    </w:p>
    <w:p>
      <w:pPr>
        <w:pBdr>
          <w:bottom w:val="single" w:sz="6" w:space="1" w:color="C8D2DE"/>
        </w:pBdr>
        <w:spacing w:before="160" w:after="160"/>
      </w:pPr>
    </w:p>
    <w:p>
      <w:pPr>
        <w:pStyle w:val="Heading1"/>
        <w:keepNext/>
        <w:spacing w:before="320" w:after="120"/>
      </w:pPr>
      <w:r>
        <w:t xml:space="preserve">2. «Debe presentar el Problema» — aporte de D4</w:t>
      </w:r>
    </w:p>
    <w:p>
      <w:pPr>
        <w:spacing w:before="0" w:after="140" w:line="264" w:lineRule="auto"/>
      </w:pPr>
      <w:r>
        <w:t xml:space="preserve">D1 escribe. D4 aporta la </w:t>
      </w:r>
      <w:r>
        <w:rPr>
          <w:b/>
        </w:rPr>
        <w:t xml:space="preserve">lectura física del problema</w:t>
      </w:r>
      <w:r>
        <w:t xml:space="preserve">, que es distinta de la lectura de negocio y es lo que justifica luego nuestras decisiones:</w:t>
      </w:r>
    </w:p>
    <w:p>
      <w:pPr>
        <w:spacing w:before="0" w:after="140" w:line="264" w:lineRule="auto"/>
      </w:pPr>
      <w:r>
        <w:rPr>
          <w:b/>
        </w:rPr>
        <w:t xml:space="preserve">El problema de D4 en una frase: la unidad productiva de esta empresa está en movimiento, desconectada buena parte del tiempo, y el 60 % de ella no le pertenece.</w:t>
      </w:r>
    </w:p>
    <w:p>
      <w:pPr>
        <w:spacing w:before="0" w:after="140" w:line="264" w:lineRule="auto"/>
      </w:pPr>
      <w:r>
        <w:t xml:space="preserve">Tres hechos físicos que gobiernan todo el diseño, del Cap. 3 del Caso (pág. 8/49):</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Nodo</w:t>
            </w:r>
          </w:p>
        </w:tc>
        <w:tc>
          <w:tcPr>
            <w:tcW w:w="3116" w:type="dxa"/>
            <w:shd w:val="clear" w:fill="EDF2F8"/>
            <w:vAlign w:val="top"/>
          </w:tcPr>
          <w:p>
            <w:pPr>
              <w:spacing w:before="40" w:after="40"/>
              <w:rPr>
                <w:sz w:val="18"/>
              </w:rPr>
            </w:pPr>
            <w:r>
              <w:rPr>
                <w:b/>
                <w:sz w:val="18"/>
                <w:szCs w:val="18"/>
              </w:rPr>
              <w:t xml:space="preserve">Lo que el caso dice</w:t>
            </w:r>
          </w:p>
        </w:tc>
        <w:tc>
          <w:tcPr>
            <w:tcW w:w="3116" w:type="dxa"/>
            <w:shd w:val="clear" w:fill="EDF2F8"/>
            <w:vAlign w:val="top"/>
          </w:tcPr>
          <w:p>
            <w:pPr>
              <w:spacing w:before="40" w:after="40"/>
              <w:rPr>
                <w:sz w:val="18"/>
              </w:rPr>
            </w:pPr>
            <w:r>
              <w:rPr>
                <w:b/>
                <w:sz w:val="18"/>
                <w:szCs w:val="18"/>
              </w:rPr>
              <w:t xml:space="preserve">Consecuencia física</w:t>
            </w:r>
          </w:p>
        </w:tc>
      </w:tr>
      <w:tr>
        <w:trPr>
          <w:cantSplit/>
        </w:trPr>
        <w:tc>
          <w:tcPr>
            <w:tcW w:w="3116" w:type="dxa"/>
            <w:vAlign w:val="top"/>
          </w:tcPr>
          <w:p>
            <w:pPr>
              <w:spacing w:before="40" w:after="40"/>
              <w:rPr>
                <w:sz w:val="18"/>
              </w:rPr>
            </w:pPr>
            <w:r>
              <w:rPr>
                <w:sz w:val="18"/>
                <w:szCs w:val="18"/>
              </w:rPr>
              <w:t xml:space="preserve">Terminal San Bernardo</w:t>
            </w:r>
          </w:p>
        </w:tc>
        <w:tc>
          <w:tcPr>
            <w:tcW w:w="3116" w:type="dxa"/>
            <w:vAlign w:val="top"/>
          </w:tcPr>
          <w:p>
            <w:pPr>
              <w:spacing w:before="40" w:after="40"/>
              <w:rPr>
                <w:sz w:val="18"/>
              </w:rPr>
            </w:pPr>
            <w:r>
              <w:rPr>
                <w:sz w:val="18"/>
                <w:szCs w:val="18"/>
              </w:rPr>
              <w:t xml:space="preserve">Casa matriz, torre 24×7, taller principal, estanque</w:t>
            </w:r>
          </w:p>
        </w:tc>
        <w:tc>
          <w:tcPr>
            <w:tcW w:w="3116" w:type="dxa"/>
            <w:vAlign w:val="top"/>
          </w:tcPr>
          <w:p>
            <w:pPr>
              <w:spacing w:before="40" w:after="40"/>
              <w:rPr>
                <w:sz w:val="18"/>
              </w:rPr>
            </w:pPr>
            <w:r>
              <w:rPr>
                <w:sz w:val="18"/>
                <w:szCs w:val="18"/>
              </w:rPr>
              <w:t xml:space="preserve">«Único punto donde converge todo. Es donde se instala y se mantiene cualquier equipamiento a bordo»</w:t>
            </w:r>
          </w:p>
        </w:tc>
      </w:tr>
      <w:tr>
        <w:trPr>
          <w:cantSplit/>
        </w:trPr>
        <w:tc>
          <w:tcPr>
            <w:tcW w:w="3116" w:type="dxa"/>
            <w:vAlign w:val="top"/>
          </w:tcPr>
          <w:p>
            <w:pPr>
              <w:spacing w:before="40" w:after="40"/>
              <w:rPr>
                <w:sz w:val="18"/>
              </w:rPr>
            </w:pPr>
            <w:r>
              <w:rPr>
                <w:sz w:val="18"/>
                <w:szCs w:val="18"/>
              </w:rPr>
              <w:t xml:space="preserve">4 terminales regionales</w:t>
            </w:r>
          </w:p>
        </w:tc>
        <w:tc>
          <w:tcPr>
            <w:tcW w:w="3116" w:type="dxa"/>
            <w:vAlign w:val="top"/>
          </w:tcPr>
          <w:p>
            <w:pPr>
              <w:spacing w:before="40" w:after="40"/>
              <w:rPr>
                <w:sz w:val="18"/>
              </w:rPr>
            </w:pPr>
            <w:r>
              <w:rPr>
                <w:sz w:val="18"/>
                <w:szCs w:val="18"/>
              </w:rPr>
              <w:t xml:space="preserve">Antofagasta, Talca, Los Ángeles, Puerto Montt</w:t>
            </w:r>
          </w:p>
        </w:tc>
        <w:tc>
          <w:tcPr>
            <w:tcW w:w="3116" w:type="dxa"/>
            <w:vAlign w:val="top"/>
          </w:tcPr>
          <w:p>
            <w:pPr>
              <w:spacing w:before="40" w:after="40"/>
              <w:rPr>
                <w:sz w:val="18"/>
              </w:rPr>
            </w:pPr>
            <w:r>
              <w:rPr>
                <w:sz w:val="18"/>
                <w:szCs w:val="18"/>
              </w:rPr>
              <w:t xml:space="preserve">«Enlace propio de un proveedor, </w:t>
            </w:r>
            <w:r>
              <w:rPr>
                <w:b/>
                <w:sz w:val="18"/>
                <w:szCs w:val="18"/>
              </w:rPr>
              <w:t xml:space="preserve">sin respaldo en tres de los cuatro</w:t>
            </w:r>
            <w:r>
              <w:rPr>
                <w:sz w:val="18"/>
                <w:szCs w:val="18"/>
              </w:rPr>
              <w:t xml:space="preserve">»</w:t>
            </w:r>
          </w:p>
        </w:tc>
      </w:tr>
      <w:tr>
        <w:trPr>
          <w:cantSplit/>
        </w:trPr>
        <w:tc>
          <w:tcPr>
            <w:tcW w:w="3116" w:type="dxa"/>
            <w:vAlign w:val="top"/>
          </w:tcPr>
          <w:p>
            <w:pPr>
              <w:spacing w:before="40" w:after="40"/>
              <w:rPr>
                <w:sz w:val="18"/>
              </w:rPr>
            </w:pPr>
            <w:r>
              <w:rPr>
                <w:sz w:val="18"/>
                <w:szCs w:val="18"/>
              </w:rPr>
              <w:t xml:space="preserve">La ruta</w:t>
            </w:r>
          </w:p>
        </w:tc>
        <w:tc>
          <w:tcPr>
            <w:tcW w:w="3116" w:type="dxa"/>
            <w:vAlign w:val="top"/>
          </w:tcPr>
          <w:p>
            <w:pPr>
              <w:spacing w:before="40" w:after="40"/>
              <w:rPr>
                <w:sz w:val="18"/>
              </w:rPr>
            </w:pPr>
            <w:r>
              <w:rPr>
                <w:sz w:val="18"/>
                <w:szCs w:val="18"/>
              </w:rPr>
              <w:t xml:space="preserve">3.000 km, tramos de </w:t>
            </w:r>
            <w:r>
              <w:rPr>
                <w:b/>
                <w:sz w:val="18"/>
                <w:szCs w:val="18"/>
              </w:rPr>
              <w:t xml:space="preserve">más de 80 km continuos sin cobertura</w:t>
            </w:r>
            <w:r>
              <w:rPr>
                <w:sz w:val="18"/>
                <w:szCs w:val="18"/>
              </w:rPr>
              <w:t xml:space="preserve"> en el norte y la cordillera</w:t>
            </w:r>
          </w:p>
        </w:tc>
        <w:tc>
          <w:tcPr>
            <w:tcW w:w="3116" w:type="dxa"/>
            <w:vAlign w:val="top"/>
          </w:tcPr>
          <w:p>
            <w:pPr>
              <w:spacing w:before="40" w:after="40"/>
              <w:rPr>
                <w:sz w:val="18"/>
              </w:rPr>
            </w:pPr>
            <w:r>
              <w:rPr>
                <w:sz w:val="18"/>
                <w:szCs w:val="18"/>
              </w:rPr>
              <w:t xml:space="preserve">«Es donde ocurre el 100 % del riesgo y donde la empresa tiene la menor visibilidad»</w:t>
            </w:r>
          </w:p>
        </w:tc>
      </w:tr>
    </w:tbl>
    <w:p>
      <w:pPr>
        <w:spacing w:before="0" w:after="100"/>
      </w:pPr>
    </w:p>
    <w:p>
      <w:pPr>
        <w:spacing w:before="0" w:after="140" w:line="264" w:lineRule="auto"/>
      </w:pPr>
      <w:r>
        <w:t xml:space="preserve">Y el dato que define el ritmo de cualquier despliegue: </w:t>
      </w:r>
      <w:r>
        <w:rPr>
          <w:b/>
        </w:rPr>
        <w:t xml:space="preserve">un camión pasa por un terminal cada 6 días en promedio, y el 22 % de la flota subcontratada pasa menos de una vez al mes</w:t>
      </w:r>
      <w:r>
        <w:t xml:space="preserve"> (Cap. 6, pág. 14/49).</w:t>
      </w:r>
    </w:p>
    <w:p>
      <w:pPr>
        <w:pBdr>
          <w:bottom w:val="single" w:sz="6" w:space="1" w:color="C8D2DE"/>
        </w:pBdr>
        <w:spacing w:before="160" w:after="160"/>
      </w:pPr>
    </w:p>
    <w:p>
      <w:pPr>
        <w:pStyle w:val="Heading1"/>
        <w:keepNext/>
        <w:spacing w:before="320" w:after="120"/>
      </w:pPr>
      <w:r>
        <w:t xml:space="preserve">3. «Debe presentar el Esquema de Solución» — aporte de D4</w:t>
      </w:r>
    </w:p>
    <w:p>
      <w:pPr>
        <w:spacing w:before="0" w:after="140" w:line="264" w:lineRule="auto"/>
      </w:pPr>
      <w:r>
        <w:t xml:space="preserve">D2 escribe. D4 aporta </w:t>
      </w:r>
      <w:r>
        <w:rPr>
          <w:b/>
        </w:rPr>
        <w:t xml:space="preserve">la capa física del esquema</w:t>
      </w:r>
      <w:r>
        <w:t xml:space="preserve">: dónde vive cada cosa y por qué.</w:t>
      </w:r>
    </w:p>
    <w:p>
      <w:pPr>
        <w:spacing w:before="0" w:after="140" w:line="264" w:lineRule="auto"/>
      </w:pPr>
      <w:r>
        <w:rPr>
          <w:b/>
        </w:rPr>
        <w:t xml:space="preserve">Principio rector propuesto, en una frase para la lámina:</w:t>
      </w:r>
    </w:p>
    <w:p>
      <w:pPr>
        <w:shd w:val="clear" w:fill="F4F7FB"/>
        <w:pBdr>
          <w:left w:val="single" w:sz="18" w:space="8" w:color="9CC3F5"/>
        </w:pBdr>
        <w:ind w:left="200"/>
        <w:spacing w:before="100" w:after="140"/>
      </w:pPr>
      <w:r>
        <w:rPr>
          <w:sz w:val="21"/>
          <w:szCs w:val="21"/>
        </w:rPr>
        <w:t xml:space="preserve">El registro operacional de esta empresa no vive en un servidor: vive en 374 camiones, y la nube es donde se consolida. El borde no es una víctima de la caída del enlace, es parte del esquema de continuidad.</w:t>
      </w:r>
    </w:p>
    <w:p>
      <w:pPr>
        <w:spacing w:before="0" w:after="140" w:line="264" w:lineRule="auto"/>
      </w:pPr>
      <w:r>
        <w:t xml:space="preserve">Ese enunciado no es retórica: </w:t>
      </w:r>
      <w:r>
        <w:rPr>
          <w:b/>
        </w:rPr>
        <w:t xml:space="preserve">RT-06.01 del Caso (pág. 32/49) lo ordena literalmente</w:t>
      </w:r>
      <w:r>
        <w:t xml:space="preserve">:</w:t>
      </w:r>
    </w:p>
    <w:p>
      <w:pPr>
        <w:shd w:val="clear" w:fill="F4F7FB"/>
        <w:pBdr>
          <w:left w:val="single" w:sz="18" w:space="8" w:color="9CC3F5"/>
        </w:pBdr>
        <w:ind w:left="200"/>
        <w:spacing w:before="100" w:after="140"/>
      </w:pPr>
      <w:r>
        <w:rPr>
          <w:sz w:val="21"/>
          <w:szCs w:val="21"/>
        </w:rPr>
        <w:t xml:space="preserve">«el dispositivo a bordo debe tratarse como un </w:t>
      </w:r>
      <w:r>
        <w:rPr>
          <w:b/>
          <w:sz w:val="21"/>
          <w:szCs w:val="21"/>
        </w:rPr>
        <w:t xml:space="preserve">componente on-premise distribuido en 374 unidades</w:t>
      </w:r>
      <w:r>
        <w:rPr>
          <w:sz w:val="21"/>
          <w:szCs w:val="21"/>
        </w:rPr>
        <w:t xml:space="preserve">, con su propio ciclo de vida, su mecanismo de actualización remota, su gestión de seguridad y su plan de reposición, todo ello sujeto a la restricción de que sólo puede intervenirse físicamente cuando el camión pasa por un terminal.»</w:t>
      </w:r>
    </w:p>
    <w:p>
      <w:pPr>
        <w:spacing w:before="0" w:after="140" w:line="264" w:lineRule="auto"/>
      </w:pPr>
      <w:r>
        <w:rPr>
          <w:b/>
        </w:rPr>
        <w:t xml:space="preserve">Cumplimiento del Artículo 16° (híbrido obligatorio):</w:t>
      </w:r>
      <w:r>
        <w:t xml:space="preserve"> la propuesta es híbrida por construcción y en tres planos simultáneos, no por conveniencia: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Plano</w:t>
            </w:r>
          </w:p>
        </w:tc>
        <w:tc>
          <w:tcPr>
            <w:tcW w:w="3116" w:type="dxa"/>
            <w:shd w:val="clear" w:fill="EDF2F8"/>
            <w:vAlign w:val="top"/>
          </w:tcPr>
          <w:p>
            <w:pPr>
              <w:spacing w:before="40" w:after="40"/>
              <w:rPr>
                <w:sz w:val="18"/>
              </w:rPr>
            </w:pPr>
            <w:r>
              <w:rPr>
                <w:b/>
                <w:sz w:val="18"/>
                <w:szCs w:val="18"/>
              </w:rPr>
              <w:t xml:space="preserve">Qué contiene</w:t>
            </w:r>
          </w:p>
        </w:tc>
        <w:tc>
          <w:tcPr>
            <w:tcW w:w="3116" w:type="dxa"/>
            <w:shd w:val="clear" w:fill="EDF2F8"/>
            <w:vAlign w:val="top"/>
          </w:tcPr>
          <w:p>
            <w:pPr>
              <w:spacing w:before="40" w:after="40"/>
              <w:rPr>
                <w:sz w:val="18"/>
              </w:rPr>
            </w:pPr>
            <w:r>
              <w:rPr>
                <w:b/>
                <w:sz w:val="18"/>
                <w:szCs w:val="18"/>
              </w:rPr>
              <w:t xml:space="preserve">Por qué no puede estar en otro lado</w:t>
            </w:r>
          </w:p>
        </w:tc>
      </w:tr>
      <w:tr>
        <w:trPr>
          <w:cantSplit/>
        </w:trPr>
        <w:tc>
          <w:tcPr>
            <w:tcW w:w="3116" w:type="dxa"/>
            <w:vAlign w:val="top"/>
          </w:tcPr>
          <w:p>
            <w:pPr>
              <w:spacing w:before="40" w:after="40"/>
              <w:rPr>
                <w:sz w:val="18"/>
              </w:rPr>
            </w:pPr>
            <w:r>
              <w:rPr>
                <w:sz w:val="18"/>
                <w:szCs w:val="18"/>
              </w:rPr>
              <w:t xml:space="preserve">Nube</w:t>
            </w:r>
          </w:p>
        </w:tc>
        <w:tc>
          <w:tcPr>
            <w:tcW w:w="3116" w:type="dxa"/>
            <w:vAlign w:val="top"/>
          </w:tcPr>
          <w:p>
            <w:pPr>
              <w:spacing w:before="40" w:after="40"/>
              <w:rPr>
                <w:sz w:val="18"/>
              </w:rPr>
            </w:pPr>
            <w:r>
              <w:rPr>
                <w:sz w:val="18"/>
                <w:szCs w:val="18"/>
              </w:rPr>
              <w:t xml:space="preserve">Núcleo transaccional, analítica, portales, integración</w:t>
            </w:r>
          </w:p>
        </w:tc>
        <w:tc>
          <w:tcPr>
            <w:tcW w:w="3116" w:type="dxa"/>
            <w:vAlign w:val="top"/>
          </w:tcPr>
          <w:p>
            <w:pPr>
              <w:spacing w:before="40" w:after="40"/>
              <w:rPr>
                <w:sz w:val="18"/>
              </w:rPr>
            </w:pPr>
            <w:r>
              <w:rPr>
                <w:sz w:val="18"/>
                <w:szCs w:val="18"/>
              </w:rPr>
              <w:t xml:space="preserve">Elasticidad para 430 camiones en 3 años (RT-02.12) y para el peak de reconexión masiva</w:t>
            </w:r>
          </w:p>
        </w:tc>
      </w:tr>
      <w:tr>
        <w:trPr>
          <w:cantSplit/>
        </w:trPr>
        <w:tc>
          <w:tcPr>
            <w:tcW w:w="3116" w:type="dxa"/>
            <w:vAlign w:val="top"/>
          </w:tcPr>
          <w:p>
            <w:pPr>
              <w:spacing w:before="40" w:after="40"/>
              <w:rPr>
                <w:sz w:val="18"/>
              </w:rPr>
            </w:pPr>
            <w:r>
              <w:rPr>
                <w:sz w:val="18"/>
                <w:szCs w:val="18"/>
              </w:rPr>
              <w:t xml:space="preserve">On-premise de sitio</w:t>
            </w:r>
          </w:p>
        </w:tc>
        <w:tc>
          <w:tcPr>
            <w:tcW w:w="3116" w:type="dxa"/>
            <w:vAlign w:val="top"/>
          </w:tcPr>
          <w:p>
            <w:pPr>
              <w:spacing w:before="40" w:after="40"/>
              <w:rPr>
                <w:sz w:val="18"/>
              </w:rPr>
            </w:pPr>
            <w:r>
              <w:rPr>
                <w:sz w:val="18"/>
                <w:szCs w:val="18"/>
              </w:rPr>
              <w:t xml:space="preserve">Continuidad de la torre 24×7 y terminación de enlaces en San Bernardo; gabinetes en 4 terminales regionales</w:t>
            </w:r>
          </w:p>
        </w:tc>
        <w:tc>
          <w:tcPr>
            <w:tcW w:w="3116" w:type="dxa"/>
            <w:vAlign w:val="top"/>
          </w:tcPr>
          <w:p>
            <w:pPr>
              <w:spacing w:before="40" w:after="40"/>
              <w:rPr>
                <w:sz w:val="18"/>
              </w:rPr>
            </w:pPr>
            <w:r>
              <w:rPr>
                <w:sz w:val="18"/>
                <w:szCs w:val="18"/>
              </w:rPr>
              <w:t xml:space="preserve">RT-06.01 del Caso exige gabinete en cada terminal regional dimensionado para RT-03.10</w:t>
            </w:r>
          </w:p>
        </w:tc>
      </w:tr>
      <w:tr>
        <w:trPr>
          <w:cantSplit/>
        </w:trPr>
        <w:tc>
          <w:tcPr>
            <w:tcW w:w="3116" w:type="dxa"/>
            <w:vAlign w:val="top"/>
          </w:tcPr>
          <w:p>
            <w:pPr>
              <w:spacing w:before="40" w:after="40"/>
              <w:rPr>
                <w:sz w:val="18"/>
              </w:rPr>
            </w:pPr>
            <w:r>
              <w:rPr>
                <w:sz w:val="18"/>
                <w:szCs w:val="18"/>
              </w:rPr>
              <w:t xml:space="preserve">On-premise distribuido</w:t>
            </w:r>
          </w:p>
        </w:tc>
        <w:tc>
          <w:tcPr>
            <w:tcW w:w="3116" w:type="dxa"/>
            <w:vAlign w:val="top"/>
          </w:tcPr>
          <w:p>
            <w:pPr>
              <w:spacing w:before="40" w:after="40"/>
              <w:rPr>
                <w:sz w:val="18"/>
              </w:rPr>
            </w:pPr>
            <w:r>
              <w:rPr>
                <w:sz w:val="18"/>
                <w:szCs w:val="18"/>
              </w:rPr>
              <w:t xml:space="preserve">374 dispositivos a bordo</w:t>
            </w:r>
          </w:p>
        </w:tc>
        <w:tc>
          <w:tcPr>
            <w:tcW w:w="3116" w:type="dxa"/>
            <w:vAlign w:val="top"/>
          </w:tcPr>
          <w:p>
            <w:pPr>
              <w:spacing w:before="40" w:after="40"/>
              <w:rPr>
                <w:sz w:val="18"/>
              </w:rPr>
            </w:pPr>
            <w:r>
              <w:rPr>
                <w:sz w:val="18"/>
                <w:szCs w:val="18"/>
              </w:rPr>
              <w:t xml:space="preserve">La operación no puede depender de la cobertura móvil (restricción 4)</w:t>
            </w:r>
          </w:p>
        </w:tc>
      </w:tr>
    </w:tbl>
    <w:p>
      <w:pPr>
        <w:spacing w:before="0" w:after="100"/>
      </w:pPr>
    </w:p>
    <w:p>
      <w:pPr>
        <w:pBdr>
          <w:bottom w:val="single" w:sz="6" w:space="1" w:color="C8D2DE"/>
        </w:pBdr>
        <w:spacing w:before="160" w:after="160"/>
      </w:pPr>
    </w:p>
    <w:p>
      <w:pPr>
        <w:pStyle w:val="Heading1"/>
        <w:keepNext/>
        <w:spacing w:before="320" w:after="120"/>
      </w:pPr>
      <w:r>
        <w:t xml:space="preserve">4. «Debe presentar el Alcance de la Solución» — aporte de D4</w:t>
      </w:r>
    </w:p>
    <w:p>
      <w:pPr>
        <w:spacing w:before="0" w:after="140" w:line="264" w:lineRule="auto"/>
      </w:pPr>
      <w:r>
        <w:t xml:space="preserve">D2 escribe. D4 aporta </w:t>
      </w:r>
      <w:r>
        <w:rPr>
          <w:b/>
        </w:rPr>
        <w:t xml:space="preserve">los límites físicos del alcance</w:t>
      </w:r>
      <w:r>
        <w:t xml:space="preserve">, que son los que más se prestan a que nos acusen de prometer lo que no podemos:</w:t>
      </w:r>
    </w:p>
    <w:p>
      <w:pPr>
        <w:pStyle w:val="Heading2"/>
        <w:keepNext/>
        <w:spacing w:before="260" w:after="100"/>
      </w:pPr>
      <w:r>
        <w:t xml:space="preserve">4.1 Tres poblaciones de camiones, tres tratamientos distintos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Población</w:t>
            </w:r>
          </w:p>
        </w:tc>
        <w:tc>
          <w:tcPr>
            <w:tcW w:w="2337" w:type="dxa"/>
            <w:shd w:val="clear" w:fill="EDF2F8"/>
            <w:vAlign w:val="top"/>
          </w:tcPr>
          <w:p>
            <w:pPr>
              <w:spacing w:before="40" w:after="40"/>
              <w:rPr>
                <w:sz w:val="18"/>
              </w:rPr>
            </w:pPr>
            <w:r>
              <w:rPr>
                <w:b/>
                <w:sz w:val="18"/>
                <w:szCs w:val="18"/>
              </w:rPr>
              <w:t xml:space="preserve">Unidades</w:t>
            </w:r>
          </w:p>
        </w:tc>
        <w:tc>
          <w:tcPr>
            <w:tcW w:w="2337" w:type="dxa"/>
            <w:shd w:val="clear" w:fill="EDF2F8"/>
            <w:vAlign w:val="top"/>
          </w:tcPr>
          <w:p>
            <w:pPr>
              <w:spacing w:before="40" w:after="40"/>
              <w:rPr>
                <w:sz w:val="18"/>
              </w:rPr>
            </w:pPr>
            <w:r>
              <w:rPr>
                <w:b/>
                <w:sz w:val="18"/>
                <w:szCs w:val="18"/>
              </w:rPr>
              <w:t xml:space="preserve">Qué se hace</w:t>
            </w:r>
          </w:p>
        </w:tc>
        <w:tc>
          <w:tcPr>
            <w:tcW w:w="2337" w:type="dxa"/>
            <w:shd w:val="clear" w:fill="EDF2F8"/>
            <w:vAlign w:val="top"/>
          </w:tcPr>
          <w:p>
            <w:pPr>
              <w:spacing w:before="40" w:after="40"/>
              <w:rPr>
                <w:sz w:val="18"/>
              </w:rPr>
            </w:pPr>
            <w:r>
              <w:rPr>
                <w:b/>
                <w:sz w:val="18"/>
                <w:szCs w:val="18"/>
              </w:rPr>
              <w:t xml:space="preserve">Fundamento</w:t>
            </w:r>
          </w:p>
        </w:tc>
      </w:tr>
      <w:tr>
        <w:trPr>
          <w:cantSplit/>
        </w:trPr>
        <w:tc>
          <w:tcPr>
            <w:tcW w:w="2337" w:type="dxa"/>
            <w:vAlign w:val="top"/>
          </w:tcPr>
          <w:p>
            <w:pPr>
              <w:spacing w:before="40" w:after="40"/>
              <w:rPr>
                <w:sz w:val="18"/>
              </w:rPr>
            </w:pPr>
            <w:r>
              <w:rPr>
                <w:sz w:val="18"/>
                <w:szCs w:val="18"/>
              </w:rPr>
              <w:t xml:space="preserve">Flota propia</w:t>
            </w:r>
          </w:p>
        </w:tc>
        <w:tc>
          <w:tcPr>
            <w:tcW w:w="2337" w:type="dxa"/>
            <w:vAlign w:val="top"/>
          </w:tcPr>
          <w:p>
            <w:pPr>
              <w:spacing w:before="40" w:after="40"/>
              <w:rPr>
                <w:sz w:val="18"/>
              </w:rPr>
            </w:pPr>
            <w:r>
              <w:rPr>
                <w:sz w:val="18"/>
                <w:szCs w:val="18"/>
              </w:rPr>
              <w:t xml:space="preserve">148</w:t>
            </w:r>
          </w:p>
        </w:tc>
        <w:tc>
          <w:tcPr>
            <w:tcW w:w="2337" w:type="dxa"/>
            <w:vAlign w:val="top"/>
          </w:tcPr>
          <w:p>
            <w:pPr>
              <w:spacing w:before="40" w:after="40"/>
              <w:rPr>
                <w:sz w:val="18"/>
              </w:rPr>
            </w:pPr>
            <w:r>
              <w:rPr>
                <w:sz w:val="18"/>
                <w:szCs w:val="18"/>
              </w:rPr>
              <w:t xml:space="preserve">Especificación completa y despliegue directo</w:t>
            </w:r>
          </w:p>
        </w:tc>
        <w:tc>
          <w:tcPr>
            <w:tcW w:w="2337" w:type="dxa"/>
            <w:vAlign w:val="top"/>
          </w:tcPr>
          <w:p>
            <w:pPr>
              <w:spacing w:before="40" w:after="40"/>
              <w:rPr>
                <w:sz w:val="18"/>
              </w:rPr>
            </w:pPr>
            <w:r>
              <w:rPr>
                <w:sz w:val="18"/>
                <w:szCs w:val="18"/>
              </w:rPr>
              <w:t xml:space="preserve">Son de la compañía</w:t>
            </w:r>
          </w:p>
        </w:tc>
      </w:tr>
      <w:tr>
        <w:trPr>
          <w:cantSplit/>
        </w:trPr>
        <w:tc>
          <w:tcPr>
            <w:tcW w:w="2337" w:type="dxa"/>
            <w:vAlign w:val="top"/>
          </w:tcPr>
          <w:p>
            <w:pPr>
              <w:spacing w:before="40" w:after="40"/>
              <w:rPr>
                <w:sz w:val="18"/>
              </w:rPr>
            </w:pPr>
            <w:r>
              <w:rPr>
                <w:sz w:val="18"/>
                <w:szCs w:val="18"/>
              </w:rPr>
              <w:t xml:space="preserve">Terceros </w:t>
            </w:r>
            <w:r>
              <w:rPr>
                <w:b/>
                <w:sz w:val="18"/>
                <w:szCs w:val="18"/>
              </w:rPr>
              <w:t xml:space="preserve">con</w:t>
            </w:r>
            <w:r>
              <w:rPr>
                <w:sz w:val="18"/>
                <w:szCs w:val="18"/>
              </w:rPr>
              <w:t xml:space="preserve"> dispositivo</w:t>
            </w:r>
          </w:p>
        </w:tc>
        <w:tc>
          <w:tcPr>
            <w:tcW w:w="2337" w:type="dxa"/>
            <w:vAlign w:val="top"/>
          </w:tcPr>
          <w:p>
            <w:pPr>
              <w:spacing w:before="40" w:after="40"/>
              <w:rPr>
                <w:sz w:val="18"/>
              </w:rPr>
            </w:pPr>
            <w:r>
              <w:rPr>
                <w:sz w:val="18"/>
                <w:szCs w:val="18"/>
              </w:rPr>
              <w:t xml:space="preserve">~192</w:t>
            </w:r>
          </w:p>
        </w:tc>
        <w:tc>
          <w:tcPr>
            <w:tcW w:w="2337" w:type="dxa"/>
            <w:vAlign w:val="top"/>
          </w:tcPr>
          <w:p>
            <w:pPr>
              <w:spacing w:before="40" w:after="40"/>
              <w:rPr>
                <w:sz w:val="18"/>
              </w:rPr>
            </w:pPr>
            <w:r>
              <w:rPr>
                <w:b/>
                <w:sz w:val="18"/>
                <w:szCs w:val="18"/>
              </w:rPr>
              <w:t xml:space="preserve">No se reemplaza nada.</w:t>
            </w:r>
            <w:r>
              <w:rPr>
                <w:sz w:val="18"/>
                <w:szCs w:val="18"/>
              </w:rPr>
              <w:t xml:space="preserve"> Estándar mínimo de homologación + unificación de la vista</w:t>
            </w:r>
          </w:p>
        </w:tc>
        <w:tc>
          <w:tcPr>
            <w:tcW w:w="2337" w:type="dxa"/>
            <w:vAlign w:val="top"/>
          </w:tcPr>
          <w:p>
            <w:pPr>
              <w:spacing w:before="40" w:after="40"/>
              <w:rPr>
                <w:sz w:val="18"/>
              </w:rPr>
            </w:pPr>
            <w:r>
              <w:rPr>
                <w:sz w:val="18"/>
                <w:szCs w:val="18"/>
              </w:rPr>
              <w:t xml:space="preserve">Restricción 3 (pág. 23/49) + Cap. 11 (pág. 24/49)</w:t>
            </w:r>
          </w:p>
        </w:tc>
      </w:tr>
      <w:tr>
        <w:trPr>
          <w:cantSplit/>
        </w:trPr>
        <w:tc>
          <w:tcPr>
            <w:tcW w:w="2337" w:type="dxa"/>
            <w:vAlign w:val="top"/>
          </w:tcPr>
          <w:p>
            <w:pPr>
              <w:spacing w:before="40" w:after="40"/>
              <w:rPr>
                <w:sz w:val="18"/>
              </w:rPr>
            </w:pPr>
            <w:r>
              <w:rPr>
                <w:sz w:val="18"/>
                <w:szCs w:val="18"/>
              </w:rPr>
              <w:t xml:space="preserve">Terceros </w:t>
            </w:r>
            <w:r>
              <w:rPr>
                <w:b/>
                <w:sz w:val="18"/>
                <w:szCs w:val="18"/>
              </w:rPr>
              <w:t xml:space="preserve">sin</w:t>
            </w:r>
            <w:r>
              <w:rPr>
                <w:sz w:val="18"/>
                <w:szCs w:val="18"/>
              </w:rPr>
              <w:t xml:space="preserve"> dispositivo</w:t>
            </w:r>
          </w:p>
        </w:tc>
        <w:tc>
          <w:tcPr>
            <w:tcW w:w="2337" w:type="dxa"/>
            <w:vAlign w:val="top"/>
          </w:tcPr>
          <w:p>
            <w:pPr>
              <w:spacing w:before="40" w:after="40"/>
              <w:rPr>
                <w:sz w:val="18"/>
              </w:rPr>
            </w:pPr>
            <w:r>
              <w:rPr>
                <w:sz w:val="18"/>
                <w:szCs w:val="18"/>
              </w:rPr>
              <w:t xml:space="preserve">34</w:t>
            </w:r>
          </w:p>
        </w:tc>
        <w:tc>
          <w:tcPr>
            <w:tcW w:w="2337" w:type="dxa"/>
            <w:vAlign w:val="top"/>
          </w:tcPr>
          <w:p>
            <w:pPr>
              <w:spacing w:before="40" w:after="40"/>
              <w:rPr>
                <w:sz w:val="18"/>
              </w:rPr>
            </w:pPr>
            <w:r>
              <w:rPr>
                <w:sz w:val="18"/>
                <w:szCs w:val="18"/>
              </w:rPr>
              <w:t xml:space="preserve">Únicos candidatos a equipo nuevo, y </w:t>
            </w:r>
            <w:r>
              <w:rPr>
                <w:b/>
                <w:sz w:val="18"/>
                <w:szCs w:val="18"/>
              </w:rPr>
              <w:t xml:space="preserve">solo por adhesión</w:t>
            </w:r>
          </w:p>
        </w:tc>
        <w:tc>
          <w:tcPr>
            <w:tcW w:w="2337" w:type="dxa"/>
            <w:vAlign w:val="top"/>
          </w:tcPr>
          <w:p>
            <w:pPr>
              <w:spacing w:before="40" w:after="40"/>
              <w:rPr>
                <w:sz w:val="18"/>
              </w:rPr>
            </w:pPr>
            <w:r>
              <w:rPr>
                <w:sz w:val="18"/>
                <w:szCs w:val="18"/>
              </w:rPr>
              <w:t xml:space="preserve">Cap. 5 (pág. 12/49)</w:t>
            </w:r>
          </w:p>
        </w:tc>
      </w:tr>
    </w:tbl>
    <w:p>
      <w:pPr>
        <w:spacing w:before="0" w:after="100"/>
      </w:pPr>
    </w:p>
    <w:p>
      <w:pPr>
        <w:spacing w:before="0" w:after="140" w:line="264" w:lineRule="auto"/>
      </w:pPr>
      <w:r>
        <w:t xml:space="preserve">El Cap. 11 del Caso (pág. 24/49) define exactamente el entregable para la población del medio:</w:t>
      </w:r>
    </w:p>
    <w:p>
      <w:pPr>
        <w:shd w:val="clear" w:fill="F4F7FB"/>
        <w:pBdr>
          <w:left w:val="single" w:sz="18" w:space="8" w:color="9CC3F5"/>
        </w:pBdr>
        <w:ind w:left="200"/>
        <w:spacing w:before="100" w:after="140"/>
      </w:pPr>
      <w:r>
        <w:rPr>
          <w:sz w:val="21"/>
          <w:szCs w:val="21"/>
        </w:rPr>
        <w:t xml:space="preserve">«No se pide reemplazar las plataformas de posicionamiento satelital instaladas en camiones de terceros, aunque </w:t>
      </w:r>
      <w:r>
        <w:rPr>
          <w:b/>
          <w:sz w:val="21"/>
          <w:szCs w:val="21"/>
        </w:rPr>
        <w:t xml:space="preserve">sí unificar la vista y especificar qué se requeriría si hubiera que homologarlas</w:t>
      </w:r>
      <w:r>
        <w:rPr>
          <w:sz w:val="21"/>
          <w:szCs w:val="21"/>
        </w:rPr>
        <w:t xml:space="preserve">.»</w:t>
      </w:r>
    </w:p>
    <w:p>
      <w:pPr>
        <w:spacing w:before="0" w:after="140" w:line="264" w:lineRule="auto"/>
      </w:pPr>
      <w:r>
        <w:t xml:space="preserve">→ El entregable no es un inventario (que no tenemos) sino un </w:t>
      </w:r>
      <w:r>
        <w:rPr>
          <w:b/>
        </w:rPr>
        <w:t xml:space="preserve">estándar mínimo de homologación</w:t>
      </w:r>
      <w:r>
        <w:t xml:space="preserve"> contra el cual clasificar después cada equipo en cumple / no cumple / desconocido: almacenamiento local de 72 h, sincronización diferida, formato de evento, identificación del conductor, sello de tiempo con garantía de integridad. El levantamiento del parque es </w:t>
      </w:r>
      <w:r>
        <w:rPr>
          <w:b/>
        </w:rPr>
        <w:t xml:space="preserve">actividad de Etapa 1</w:t>
      </w:r>
      <w:r>
        <w:t xml:space="preserve">, con costo, plazo y dependencia de terceros.</w:t>
      </w:r>
    </w:p>
    <w:p>
      <w:pPr>
        <w:pStyle w:val="Heading2"/>
        <w:keepNext/>
        <w:spacing w:before="260" w:after="100"/>
      </w:pPr>
      <w:r>
        <w:t xml:space="preserve">4.2 Lo que está fuera del alcance físico y hay que decir en voz alta</w:t>
      </w:r>
    </w:p>
    <w:p>
      <w:pPr>
        <w:ind w:left="340"/>
        <w:spacing w:before="20" w:after="60"/>
      </w:pPr>
      <w:r>
        <w:t xml:space="preserve">•  </w:t>
      </w:r>
      <w:r>
        <w:t xml:space="preserve">No se instala equipamiento en puntos de carga y descarga de clientes (Cap. 11, pág. 24/49;</w:t>
      </w:r>
    </w:p>
    <w:p>
      <w:pPr>
        <w:spacing w:before="0" w:after="140" w:line="264" w:lineRule="auto"/>
      </w:pPr>
      <w:r>
        <w:t xml:space="preserve">restricción 9).</w:t>
      </w:r>
    </w:p>
    <w:p>
      <w:pPr>
        <w:ind w:left="340"/>
        <w:spacing w:before="20" w:after="60"/>
      </w:pPr>
      <w:r>
        <w:t xml:space="preserve">•  </w:t>
      </w:r>
      <w:r>
        <w:t xml:space="preserve">No se interviene la electrónica de fábrica del vehículo (Cap. 11, pág. 24/49).</w:t>
      </w:r>
    </w:p>
    <w:p>
      <w:pPr>
        <w:ind w:left="340"/>
        <w:spacing w:before="20" w:after="60"/>
      </w:pPr>
      <w:r>
        <w:t xml:space="preserve">•  </w:t>
      </w:r>
      <w:r>
        <w:t xml:space="preserve">El hardware </w:t>
      </w:r>
      <w:r>
        <w:rPr>
          <w:b/>
        </w:rPr>
        <w:t xml:space="preserve">lo compra el CLIENTE</w:t>
      </w:r>
      <w:r>
        <w:t xml:space="preserve">; nosotros especificamos qué comprar, cuánto y con qué</w:t>
      </w:r>
    </w:p>
    <w:p>
      <w:pPr>
        <w:spacing w:before="0" w:after="140" w:line="264" w:lineRule="auto"/>
      </w:pPr>
      <w:r>
        <w:t xml:space="preserve">características (Cap. 11, pág. 24/49).</w:t>
      </w:r>
    </w:p>
    <w:p>
      <w:pPr>
        <w:ind w:left="340"/>
        <w:spacing w:before="20" w:after="60"/>
      </w:pPr>
      <w:r>
        <w:t xml:space="preserve">•  </w:t>
      </w:r>
      <w:r>
        <w:t xml:space="preserve">No se promete visibilidad total: 34 camiones no tienen nada y ~192 tienen equipos que no</w:t>
      </w:r>
    </w:p>
    <w:p>
      <w:pPr>
        <w:spacing w:before="0" w:after="140" w:line="264" w:lineRule="auto"/>
      </w:pPr>
      <w:r>
        <w:t xml:space="preserve">podemos tocar.</w:t>
      </w:r>
    </w:p>
    <w:p>
      <w:pPr>
        <w:pBdr>
          <w:bottom w:val="single" w:sz="6" w:space="1" w:color="C8D2DE"/>
        </w:pBdr>
        <w:spacing w:before="160" w:after="160"/>
      </w:pPr>
    </w:p>
    <w:p>
      <w:pPr>
        <w:pStyle w:val="Heading1"/>
        <w:keepNext/>
        <w:spacing w:before="320" w:after="120"/>
      </w:pPr>
      <w:r>
        <w:t xml:space="preserve">5. «Arquitectura Física» — el núcleo de D4 (16 %)</w:t>
      </w:r>
    </w:p>
    <w:p>
      <w:pPr>
        <w:pStyle w:val="Heading2"/>
        <w:keepNext/>
        <w:spacing w:before="260" w:after="100"/>
      </w:pPr>
      <w:r>
        <w:t xml:space="preserve">5.0 Advertencia de dependencia</w:t>
      </w:r>
    </w:p>
    <w:p>
      <w:pPr>
        <w:spacing w:before="0" w:after="140" w:line="264" w:lineRule="auto"/>
      </w:pPr>
      <w:r>
        <w:rPr>
          <w:b/>
        </w:rPr>
        <w:t xml:space="preserve">La tabla de emplazamiento (§5.2) no se puede cerrar hasta que D3 entregue el inventario de componentes lógicos.</w:t>
      </w:r>
      <w:r>
        <w:t xml:space="preserve"> Sincronización S4, viernes 04-09. Todo lo demás de esta sección es independiente de D3 y se puede escribir ya.</w:t>
      </w:r>
    </w:p>
    <w:p>
      <w:pPr>
        <w:spacing w:before="0" w:after="140" w:line="264" w:lineRule="auto"/>
      </w:pPr>
      <w:r>
        <w:t xml:space="preserve">El Art. 16.2 califica como </w:t>
      </w:r>
      <w:r>
        <w:rPr>
          <w:b/>
        </w:rPr>
        <w:t xml:space="preserve">observación grave</w:t>
      </w:r>
      <w:r>
        <w:t xml:space="preserve"> emplazar un componente sin justificar, y el numeral 1.5 advierte que declarar «cumple» sin individualizar el componente «equivale a no declarar». La tabla se llena componente por componente o no sirve.</w:t>
      </w:r>
    </w:p>
    <w:p>
      <w:pPr>
        <w:pBdr>
          <w:bottom w:val="single" w:sz="6" w:space="1" w:color="C8D2DE"/>
        </w:pBdr>
        <w:spacing w:before="160" w:after="160"/>
      </w:pPr>
    </w:p>
    <w:p>
      <w:pPr>
        <w:pStyle w:val="Heading2"/>
        <w:keepNext/>
        <w:spacing w:before="260" w:after="100"/>
      </w:pPr>
      <w:r>
        <w:t xml:space="preserve">5.1 Los nodos físicos del caso</w:t>
      </w:r>
    </w:p>
    <w:p>
      <w:pPr>
        <w:pStyle w:val="Codigo"/>
        <w:shd w:val="clear" w:fill="F7F9FC"/>
        <w:spacing w:before="100" w:after="100" w:line="200" w:lineRule="auto"/>
        <w:pBdr>
          <w:left w:val="single" w:sz="12" w:space="6" w:color="C8D2DE"/>
        </w:pBdr>
      </w:pPr>
      <w:r>
        <w:t xml:space="preserve">                     ┌──────────────────────────────────────────┐</w:t>
      </w:r>
      <w:r>
        <w:br/>
      </w:r>
      <w:r>
        <w:t xml:space="preserve">                     │   NUBE — Azure Chile Central (Santiago)  │</w:t>
      </w:r>
      <w:r>
        <w:br/>
      </w:r>
      <w:r>
        <w:t xml:space="preserve">                     │   3 zonas de disponibilidad · GA 2025    │</w:t>
      </w:r>
      <w:r>
        <w:br/>
      </w:r>
      <w:r>
        <w:t xml:space="preserve">                     │   Núcleo transaccional · Analítica       │</w:t>
      </w:r>
      <w:r>
        <w:br/>
      </w:r>
      <w:r>
        <w:t xml:space="preserve">                     │   Portales · Integración · IoT Hub       │</w:t>
      </w:r>
      <w:r>
        <w:br/>
      </w:r>
      <w:r>
        <w:t xml:space="preserve">                     └───────────────┬──────────────────────────┘</w:t>
      </w:r>
      <w:r>
        <w:br/>
      </w:r>
      <w:r>
        <w:t xml:space="preserve">                                     │  ExpressRoute + VPN de respaldo</w:t>
      </w:r>
      <w:r>
        <w:br/>
      </w:r>
      <w:r>
        <w:t xml:space="preserve">                                     │  (rutas físicas y proveedores distintos)</w:t>
      </w:r>
      <w:r>
        <w:br/>
      </w:r>
      <w:r>
        <w:t xml:space="preserve">              ┌──────────────────────┴───────────────────────┐</w:t>
      </w:r>
      <w:r>
        <w:br/>
      </w:r>
      <w:r>
        <w:t xml:space="preserve">              │                                              │</w:t>
      </w:r>
      <w:r>
        <w:br/>
      </w:r>
      <w:r>
        <w:t xml:space="preserve">   ┌──────────▼───────────┐                    ┌─────────────▼─────────────┐</w:t>
      </w:r>
      <w:r>
        <w:br/>
      </w:r>
      <w:r>
        <w:t xml:space="preserve">   │  SAN BERNARDO        │                    │  4 TERMINALES REGIONALES  │</w:t>
      </w:r>
      <w:r>
        <w:br/>
      </w:r>
      <w:r>
        <w:t xml:space="preserve">   │  Sala técnica de     │                    │  Antofagasta · Talca ·    │</w:t>
      </w:r>
      <w:r>
        <w:br/>
      </w:r>
      <w:r>
        <w:t xml:space="preserve">   │  sitio (26 m²)       │                    │  Los Ángeles · Pto Montt  │</w:t>
      </w:r>
      <w:r>
        <w:br/>
      </w:r>
      <w:r>
        <w:t xml:space="preserve">   │  · Continuidad torre │                    │  Tipología: GABINETE      │</w:t>
      </w:r>
      <w:r>
        <w:br/>
      </w:r>
      <w:r>
        <w:t xml:space="preserve">   │  · Terminación red   │                    │  · Cómputo local 12 h     │</w:t>
      </w:r>
      <w:r>
        <w:br/>
      </w:r>
      <w:r>
        <w:t xml:space="preserve">   │  · Custodia medios   │                    │  · Enlace + respaldo      │</w:t>
      </w:r>
      <w:r>
        <w:br/>
      </w:r>
      <w:r>
        <w:t xml:space="preserve">   └──────────┬───────────┘                    └─────────────┬─────────────┘</w:t>
      </w:r>
      <w:r>
        <w:br/>
      </w:r>
      <w:r>
        <w:t xml:space="preserve">              │                                              │</w:t>
      </w:r>
      <w:r>
        <w:br/>
      </w:r>
      <w:r>
        <w:t xml:space="preserve">              └──────────────────┬───────────────────────────┘</w:t>
      </w:r>
      <w:r>
        <w:br/>
      </w:r>
      <w:r>
        <w:t xml:space="preserve">                                 │</w:t>
      </w:r>
      <w:r>
        <w:br/>
      </w:r>
      <w:r>
        <w:t xml:space="preserve">              ┌──────────────────▼──────────────────────────┐</w:t>
      </w:r>
      <w:r>
        <w:br/>
      </w:r>
      <w:r>
        <w:t xml:space="preserve">              │   ON-PREMISE DISTRIBUIDO — 374 CAMIONES     │</w:t>
      </w:r>
      <w:r>
        <w:br/>
      </w:r>
      <w:r>
        <w:t xml:space="preserve">              │   (RT-06.01 del Caso, pág. 32/49)           │</w:t>
      </w:r>
      <w:r>
        <w:br/>
      </w:r>
      <w:r>
        <w:t xml:space="preserve">              │   Cada uno: buffer 72 h + celular + [SBD]   │</w:t>
      </w:r>
      <w:r>
        <w:br/>
      </w:r>
      <w:r>
        <w:t xml:space="preserve">              └─────────────────────────────────────────────┘</w:t>
      </w:r>
      <w:r>
        <w:br/>
      </w:r>
      <w:r>
        <w:br/>
      </w:r>
      <w:r>
        <w:t xml:space="preserve">   Nodos donde NO se instala nada (restricción 9 / Cap. 11):</w:t>
      </w:r>
      <w:r>
        <w:br/>
      </w:r>
      <w:r>
        <w:t xml:space="preserve">   · Puntos de carga y descarga de clientes  · Plazas de pesaje</w:t>
      </w:r>
      <w:r>
        <w:br/>
      </w:r>
      <w:r>
        <w:t xml:space="preserve">   · Talleres externos en ruta               · Paso Los Libertadores</w:t>
      </w:r>
    </w:p>
    <w:p>
      <w:pPr>
        <w:pBdr>
          <w:bottom w:val="single" w:sz="6" w:space="1" w:color="C8D2DE"/>
        </w:pBdr>
        <w:spacing w:before="160" w:after="160"/>
      </w:pPr>
    </w:p>
    <w:p>
      <w:pPr>
        <w:pStyle w:val="Heading2"/>
        <w:keepNext/>
        <w:spacing w:before="260" w:after="100"/>
      </w:pPr>
      <w:r>
        <w:t xml:space="preserve">5.2 Tabla de emplazamiento — plantilla y criterios</w:t>
      </w:r>
    </w:p>
    <w:p>
      <w:pPr>
        <w:spacing w:before="0" w:after="140" w:line="264" w:lineRule="auto"/>
      </w:pPr>
      <w:r>
        <w:rPr>
          <w:b/>
        </w:rPr>
        <w:t xml:space="preserve">DESBLOQUEADA Y CONSTRUIDA.</w:t>
      </w:r>
      <w:r>
        <w:t xml:space="preserve"> D3 entregó el inventario lógico (Eje 5 de </w:t>
      </w:r>
      <w:r>
        <w:rPr>
          <w:rFonts w:ascii="Consolas" w:hAnsi="Consolas"/>
          <w:color w:val="5B21B6"/>
          <w:sz w:val="20"/>
          <w:szCs w:val="20"/>
          <w:shd w:val="clear" w:fill="F1F4F8"/>
        </w:rPr>
        <w:t xml:space="preserve">subdoc4.1-arquitectura-logica.md</w:t>
      </w:r>
      <w:r>
        <w:t xml:space="preserve">) y la tabla está en </w:t>
      </w:r>
      <w:r>
        <w:rPr>
          <w:b/>
        </w:rPr>
        <w:t xml:space="preserve">`T-11-tabla-emplazamiento.md`</w:t>
      </w:r>
      <w:r>
        <w:t xml:space="preserve">: 34 componentes en cuatro emplazamientos, con la matriz de los seis criterios del Art. 16.2 y cuatro correcciones documentadas respecto de la recomendación de D3 — la principal, el </w:t>
      </w:r>
      <w:r>
        <w:rPr>
          <w:b/>
        </w:rPr>
        <w:t xml:space="preserve">nodo de continuidad operacional en San Bernardo</w:t>
      </w:r>
      <w:r>
        <w:t xml:space="preserve">, que la recomendación de D3 no contemplaba y que RT-03.10 y RT-21.06 hacen obligatorio.</w:t>
      </w:r>
    </w:p>
    <w:p>
      <w:pPr>
        <w:spacing w:before="0" w:after="140" w:line="264" w:lineRule="auto"/>
      </w:pPr>
      <w:r>
        <w:t xml:space="preserve">Estructura de columnas: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1038"/>
        <w:gridCol w:w="1038"/>
        <w:gridCol w:w="1038"/>
        <w:gridCol w:w="1038"/>
        <w:gridCol w:w="1038"/>
        <w:gridCol w:w="1038"/>
        <w:gridCol w:w="1038"/>
        <w:gridCol w:w="1038"/>
        <w:gridCol w:w="1038"/>
      </w:tblGrid>
      <w:tr>
        <w:trPr>
          <w:tblHeader/>
          <w:cantSplit/>
        </w:trPr>
        <w:tc>
          <w:tcPr>
            <w:tcW w:w="1038" w:type="dxa"/>
            <w:shd w:val="clear" w:fill="EDF2F8"/>
            <w:vAlign w:val="top"/>
          </w:tcPr>
          <w:p>
            <w:pPr>
              <w:spacing w:before="40" w:after="40"/>
              <w:rPr>
                <w:sz w:val="18"/>
              </w:rPr>
            </w:pPr>
            <w:r>
              <w:rPr>
                <w:b/>
                <w:sz w:val="18"/>
                <w:szCs w:val="18"/>
              </w:rPr>
              <w:t xml:space="preserve">Componente</w:t>
            </w:r>
          </w:p>
        </w:tc>
        <w:tc>
          <w:tcPr>
            <w:tcW w:w="1038" w:type="dxa"/>
            <w:shd w:val="clear" w:fill="EDF2F8"/>
            <w:vAlign w:val="top"/>
          </w:tcPr>
          <w:p>
            <w:pPr>
              <w:spacing w:before="40" w:after="40"/>
              <w:rPr>
                <w:sz w:val="18"/>
              </w:rPr>
            </w:pPr>
            <w:r>
              <w:rPr>
                <w:b/>
                <w:sz w:val="18"/>
                <w:szCs w:val="18"/>
              </w:rPr>
              <w:t xml:space="preserve">Emplazamiento</w:t>
            </w:r>
          </w:p>
        </w:tc>
        <w:tc>
          <w:tcPr>
            <w:tcW w:w="1038" w:type="dxa"/>
            <w:shd w:val="clear" w:fill="EDF2F8"/>
            <w:vAlign w:val="top"/>
          </w:tcPr>
          <w:p>
            <w:pPr>
              <w:spacing w:before="40" w:after="40"/>
              <w:rPr>
                <w:sz w:val="18"/>
              </w:rPr>
            </w:pPr>
            <w:r>
              <w:rPr>
                <w:b/>
                <w:sz w:val="18"/>
                <w:szCs w:val="18"/>
              </w:rPr>
              <w:t xml:space="preserve">Latencia</w:t>
            </w:r>
          </w:p>
        </w:tc>
        <w:tc>
          <w:tcPr>
            <w:tcW w:w="1038" w:type="dxa"/>
            <w:shd w:val="clear" w:fill="EDF2F8"/>
            <w:vAlign w:val="top"/>
          </w:tcPr>
          <w:p>
            <w:pPr>
              <w:spacing w:before="40" w:after="40"/>
              <w:rPr>
                <w:sz w:val="18"/>
              </w:rPr>
            </w:pPr>
            <w:r>
              <w:rPr>
                <w:b/>
                <w:sz w:val="18"/>
                <w:szCs w:val="18"/>
              </w:rPr>
              <w:t xml:space="preserve">Criticidad</w:t>
            </w:r>
          </w:p>
        </w:tc>
        <w:tc>
          <w:tcPr>
            <w:tcW w:w="1038" w:type="dxa"/>
            <w:shd w:val="clear" w:fill="EDF2F8"/>
            <w:vAlign w:val="top"/>
          </w:tcPr>
          <w:p>
            <w:pPr>
              <w:spacing w:before="40" w:after="40"/>
              <w:rPr>
                <w:sz w:val="18"/>
              </w:rPr>
            </w:pPr>
            <w:r>
              <w:rPr>
                <w:b/>
                <w:sz w:val="18"/>
                <w:szCs w:val="18"/>
              </w:rPr>
              <w:t xml:space="preserve">Volumen</w:t>
            </w:r>
          </w:p>
        </w:tc>
        <w:tc>
          <w:tcPr>
            <w:tcW w:w="1038" w:type="dxa"/>
            <w:shd w:val="clear" w:fill="EDF2F8"/>
            <w:vAlign w:val="top"/>
          </w:tcPr>
          <w:p>
            <w:pPr>
              <w:spacing w:before="40" w:after="40"/>
              <w:rPr>
                <w:sz w:val="18"/>
              </w:rPr>
            </w:pPr>
            <w:r>
              <w:rPr>
                <w:b/>
                <w:sz w:val="18"/>
                <w:szCs w:val="18"/>
              </w:rPr>
              <w:t xml:space="preserve">Regulación</w:t>
            </w:r>
          </w:p>
        </w:tc>
        <w:tc>
          <w:tcPr>
            <w:tcW w:w="1038" w:type="dxa"/>
            <w:shd w:val="clear" w:fill="EDF2F8"/>
            <w:vAlign w:val="top"/>
          </w:tcPr>
          <w:p>
            <w:pPr>
              <w:spacing w:before="40" w:after="40"/>
              <w:rPr>
                <w:sz w:val="18"/>
              </w:rPr>
            </w:pPr>
            <w:r>
              <w:rPr>
                <w:b/>
                <w:sz w:val="18"/>
                <w:szCs w:val="18"/>
              </w:rPr>
              <w:t xml:space="preserve">Conectividad</w:t>
            </w:r>
          </w:p>
        </w:tc>
        <w:tc>
          <w:tcPr>
            <w:tcW w:w="1038" w:type="dxa"/>
            <w:shd w:val="clear" w:fill="EDF2F8"/>
            <w:vAlign w:val="top"/>
          </w:tcPr>
          <w:p>
            <w:pPr>
              <w:spacing w:before="40" w:after="40"/>
              <w:rPr>
                <w:sz w:val="18"/>
              </w:rPr>
            </w:pPr>
            <w:r>
              <w:rPr>
                <w:b/>
                <w:sz w:val="18"/>
                <w:szCs w:val="18"/>
              </w:rPr>
              <w:t xml:space="preserve">TCO</w:t>
            </w:r>
          </w:p>
        </w:tc>
        <w:tc>
          <w:tcPr>
            <w:tcW w:w="1038" w:type="dxa"/>
            <w:shd w:val="clear" w:fill="EDF2F8"/>
            <w:vAlign w:val="top"/>
          </w:tcPr>
          <w:p>
            <w:pPr>
              <w:spacing w:before="40" w:after="40"/>
              <w:rPr>
                <w:sz w:val="18"/>
              </w:rPr>
            </w:pPr>
            <w:r>
              <w:rPr>
                <w:b/>
                <w:sz w:val="18"/>
                <w:szCs w:val="18"/>
              </w:rPr>
              <w:t xml:space="preserve">Justificación</w:t>
            </w:r>
          </w:p>
        </w:tc>
      </w:tr>
    </w:tbl>
    <w:p>
      <w:pPr>
        <w:spacing w:before="0" w:after="100"/>
      </w:pPr>
    </w:p>
    <w:p>
      <w:pPr>
        <w:spacing w:before="0" w:after="140" w:line="264" w:lineRule="auto"/>
      </w:pPr>
      <w:r>
        <w:t xml:space="preserve">Reglas de decisión propuestas, para que D3 pueda pre-clasificar sin nosotros: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Si el componente…</w:t>
            </w:r>
          </w:p>
        </w:tc>
        <w:tc>
          <w:tcPr>
            <w:tcW w:w="3116" w:type="dxa"/>
            <w:shd w:val="clear" w:fill="EDF2F8"/>
            <w:vAlign w:val="top"/>
          </w:tcPr>
          <w:p>
            <w:pPr>
              <w:spacing w:before="40" w:after="40"/>
              <w:rPr>
                <w:sz w:val="18"/>
              </w:rPr>
            </w:pPr>
            <w:r>
              <w:rPr>
                <w:b/>
                <w:sz w:val="18"/>
                <w:szCs w:val="18"/>
              </w:rPr>
              <w:t xml:space="preserve">Va a…</w:t>
            </w:r>
          </w:p>
        </w:tc>
        <w:tc>
          <w:tcPr>
            <w:tcW w:w="3116" w:type="dxa"/>
            <w:shd w:val="clear" w:fill="EDF2F8"/>
            <w:vAlign w:val="top"/>
          </w:tcPr>
          <w:p>
            <w:pPr>
              <w:spacing w:before="40" w:after="40"/>
              <w:rPr>
                <w:sz w:val="18"/>
              </w:rPr>
            </w:pPr>
            <w:r>
              <w:rPr>
                <w:b/>
                <w:sz w:val="18"/>
                <w:szCs w:val="18"/>
              </w:rPr>
              <w:t xml:space="preserve">Fundamento</w:t>
            </w:r>
          </w:p>
        </w:tc>
      </w:tr>
      <w:tr>
        <w:trPr>
          <w:cantSplit/>
        </w:trPr>
        <w:tc>
          <w:tcPr>
            <w:tcW w:w="3116" w:type="dxa"/>
            <w:vAlign w:val="top"/>
          </w:tcPr>
          <w:p>
            <w:pPr>
              <w:spacing w:before="40" w:after="40"/>
              <w:rPr>
                <w:sz w:val="18"/>
              </w:rPr>
            </w:pPr>
            <w:r>
              <w:rPr>
                <w:sz w:val="18"/>
                <w:szCs w:val="18"/>
              </w:rPr>
              <w:t xml:space="preserve">debe responder con el camión en ruta y sin enlace</w:t>
            </w:r>
          </w:p>
        </w:tc>
        <w:tc>
          <w:tcPr>
            <w:tcW w:w="3116" w:type="dxa"/>
            <w:vAlign w:val="top"/>
          </w:tcPr>
          <w:p>
            <w:pPr>
              <w:spacing w:before="40" w:after="40"/>
              <w:rPr>
                <w:sz w:val="18"/>
              </w:rPr>
            </w:pPr>
            <w:r>
              <w:rPr>
                <w:sz w:val="18"/>
                <w:szCs w:val="18"/>
              </w:rPr>
              <w:t xml:space="preserve">Dispositivo a bordo</w:t>
            </w:r>
          </w:p>
        </w:tc>
        <w:tc>
          <w:tcPr>
            <w:tcW w:w="3116" w:type="dxa"/>
            <w:vAlign w:val="top"/>
          </w:tcPr>
          <w:p>
            <w:pPr>
              <w:spacing w:before="40" w:after="40"/>
              <w:rPr>
                <w:sz w:val="18"/>
              </w:rPr>
            </w:pPr>
            <w:r>
              <w:rPr>
                <w:sz w:val="18"/>
                <w:szCs w:val="18"/>
              </w:rPr>
              <w:t xml:space="preserve">Restricción 4 · RT-03.10</w:t>
            </w:r>
          </w:p>
        </w:tc>
      </w:tr>
      <w:tr>
        <w:trPr>
          <w:cantSplit/>
        </w:trPr>
        <w:tc>
          <w:tcPr>
            <w:tcW w:w="3116" w:type="dxa"/>
            <w:vAlign w:val="top"/>
          </w:tcPr>
          <w:p>
            <w:pPr>
              <w:spacing w:before="40" w:after="40"/>
              <w:rPr>
                <w:sz w:val="18"/>
              </w:rPr>
            </w:pPr>
            <w:r>
              <w:rPr>
                <w:sz w:val="18"/>
                <w:szCs w:val="18"/>
              </w:rPr>
              <w:t xml:space="preserve">debe permitir asignar viaje, emitir DET o recibir pánico con la nube caída</w:t>
            </w:r>
          </w:p>
        </w:tc>
        <w:tc>
          <w:tcPr>
            <w:tcW w:w="3116" w:type="dxa"/>
            <w:vAlign w:val="top"/>
          </w:tcPr>
          <w:p>
            <w:pPr>
              <w:spacing w:before="40" w:after="40"/>
              <w:rPr>
                <w:sz w:val="18"/>
              </w:rPr>
            </w:pPr>
            <w:r>
              <w:rPr>
                <w:sz w:val="18"/>
                <w:szCs w:val="18"/>
              </w:rPr>
              <w:t xml:space="preserve">San Bernardo</w:t>
            </w:r>
          </w:p>
        </w:tc>
        <w:tc>
          <w:tcPr>
            <w:tcW w:w="3116" w:type="dxa"/>
            <w:vAlign w:val="top"/>
          </w:tcPr>
          <w:p>
            <w:pPr>
              <w:spacing w:before="40" w:after="40"/>
              <w:rPr>
                <w:sz w:val="18"/>
              </w:rPr>
            </w:pPr>
            <w:r>
              <w:rPr>
                <w:sz w:val="18"/>
                <w:szCs w:val="18"/>
              </w:rPr>
              <w:t xml:space="preserve">RT-21.06: severidad máxima</w:t>
            </w:r>
          </w:p>
        </w:tc>
      </w:tr>
      <w:tr>
        <w:trPr>
          <w:cantSplit/>
        </w:trPr>
        <w:tc>
          <w:tcPr>
            <w:tcW w:w="3116" w:type="dxa"/>
            <w:vAlign w:val="top"/>
          </w:tcPr>
          <w:p>
            <w:pPr>
              <w:spacing w:before="40" w:after="40"/>
              <w:rPr>
                <w:sz w:val="18"/>
              </w:rPr>
            </w:pPr>
            <w:r>
              <w:rPr>
                <w:sz w:val="18"/>
                <w:szCs w:val="18"/>
              </w:rPr>
              <w:t xml:space="preserve">maneja datos personales de los 258 conductores externos</w:t>
            </w:r>
          </w:p>
        </w:tc>
        <w:tc>
          <w:tcPr>
            <w:tcW w:w="3116" w:type="dxa"/>
            <w:vAlign w:val="top"/>
          </w:tcPr>
          <w:p>
            <w:pPr>
              <w:spacing w:before="40" w:after="40"/>
              <w:rPr>
                <w:sz w:val="18"/>
              </w:rPr>
            </w:pPr>
            <w:r>
              <w:rPr>
                <w:sz w:val="18"/>
                <w:szCs w:val="18"/>
              </w:rPr>
              <w:t xml:space="preserve">Nube, con cifrado a nivel de campo</w:t>
            </w:r>
          </w:p>
        </w:tc>
        <w:tc>
          <w:tcPr>
            <w:tcW w:w="3116" w:type="dxa"/>
            <w:vAlign w:val="top"/>
          </w:tcPr>
          <w:p>
            <w:pPr>
              <w:spacing w:before="40" w:after="40"/>
              <w:rPr>
                <w:sz w:val="18"/>
              </w:rPr>
            </w:pPr>
            <w:r>
              <w:rPr>
                <w:sz w:val="18"/>
                <w:szCs w:val="18"/>
              </w:rPr>
              <w:t xml:space="preserve">RT-11.10</w:t>
            </w:r>
          </w:p>
        </w:tc>
      </w:tr>
      <w:tr>
        <w:trPr>
          <w:cantSplit/>
        </w:trPr>
        <w:tc>
          <w:tcPr>
            <w:tcW w:w="3116" w:type="dxa"/>
            <w:vAlign w:val="top"/>
          </w:tcPr>
          <w:p>
            <w:pPr>
              <w:spacing w:before="40" w:after="40"/>
              <w:rPr>
                <w:sz w:val="18"/>
              </w:rPr>
            </w:pPr>
            <w:r>
              <w:rPr>
                <w:sz w:val="18"/>
                <w:szCs w:val="18"/>
              </w:rPr>
              <w:t xml:space="preserve">es serie temporal de posición o telemetría</w:t>
            </w:r>
          </w:p>
        </w:tc>
        <w:tc>
          <w:tcPr>
            <w:tcW w:w="3116" w:type="dxa"/>
            <w:vAlign w:val="top"/>
          </w:tcPr>
          <w:p>
            <w:pPr>
              <w:spacing w:before="40" w:after="40"/>
              <w:rPr>
                <w:sz w:val="18"/>
              </w:rPr>
            </w:pPr>
            <w:r>
              <w:rPr>
                <w:sz w:val="18"/>
                <w:szCs w:val="18"/>
              </w:rPr>
              <w:t xml:space="preserve">Nube, con política de agregación declarada</w:t>
            </w:r>
          </w:p>
        </w:tc>
        <w:tc>
          <w:tcPr>
            <w:tcW w:w="3116" w:type="dxa"/>
            <w:vAlign w:val="top"/>
          </w:tcPr>
          <w:p>
            <w:pPr>
              <w:spacing w:before="40" w:after="40"/>
              <w:rPr>
                <w:sz w:val="18"/>
              </w:rPr>
            </w:pPr>
            <w:r>
              <w:rPr>
                <w:sz w:val="18"/>
                <w:szCs w:val="18"/>
              </w:rPr>
              <w:t xml:space="preserve">RT-05.10 del Caso: 2 años en línea</w:t>
            </w:r>
          </w:p>
        </w:tc>
      </w:tr>
      <w:tr>
        <w:trPr>
          <w:cantSplit/>
        </w:trPr>
        <w:tc>
          <w:tcPr>
            <w:tcW w:w="3116" w:type="dxa"/>
            <w:vAlign w:val="top"/>
          </w:tcPr>
          <w:p>
            <w:pPr>
              <w:spacing w:before="40" w:after="40"/>
              <w:rPr>
                <w:sz w:val="18"/>
              </w:rPr>
            </w:pPr>
            <w:r>
              <w:rPr>
                <w:sz w:val="18"/>
                <w:szCs w:val="18"/>
              </w:rPr>
              <w:t xml:space="preserve">es evidencia de jornada o documento probatorio</w:t>
            </w:r>
          </w:p>
        </w:tc>
        <w:tc>
          <w:tcPr>
            <w:tcW w:w="3116" w:type="dxa"/>
            <w:vAlign w:val="top"/>
          </w:tcPr>
          <w:p>
            <w:pPr>
              <w:spacing w:before="40" w:after="40"/>
              <w:rPr>
                <w:sz w:val="18"/>
              </w:rPr>
            </w:pPr>
            <w:r>
              <w:rPr>
                <w:sz w:val="18"/>
                <w:szCs w:val="18"/>
              </w:rPr>
              <w:t xml:space="preserve">Nube, con almacenamiento inmutable</w:t>
            </w:r>
          </w:p>
        </w:tc>
        <w:tc>
          <w:tcPr>
            <w:tcW w:w="3116" w:type="dxa"/>
            <w:vAlign w:val="top"/>
          </w:tcPr>
          <w:p>
            <w:pPr>
              <w:spacing w:before="40" w:after="40"/>
              <w:rPr>
                <w:sz w:val="18"/>
              </w:rPr>
            </w:pPr>
            <w:r>
              <w:rPr>
                <w:sz w:val="18"/>
                <w:szCs w:val="18"/>
              </w:rPr>
              <w:t xml:space="preserve">RT-05.10 del Caso: 5–10 años · RT-07.11</w:t>
            </w:r>
          </w:p>
        </w:tc>
      </w:tr>
      <w:tr>
        <w:trPr>
          <w:cantSplit/>
        </w:trPr>
        <w:tc>
          <w:tcPr>
            <w:tcW w:w="3116" w:type="dxa"/>
            <w:vAlign w:val="top"/>
          </w:tcPr>
          <w:p>
            <w:pPr>
              <w:spacing w:before="40" w:after="40"/>
              <w:rPr>
                <w:sz w:val="18"/>
              </w:rPr>
            </w:pPr>
            <w:r>
              <w:rPr>
                <w:sz w:val="18"/>
                <w:szCs w:val="18"/>
              </w:rPr>
              <w:t xml:space="preserve">tiene perfil de carga variable</w:t>
            </w:r>
          </w:p>
        </w:tc>
        <w:tc>
          <w:tcPr>
            <w:tcW w:w="3116" w:type="dxa"/>
            <w:vAlign w:val="top"/>
          </w:tcPr>
          <w:p>
            <w:pPr>
              <w:spacing w:before="40" w:after="40"/>
              <w:rPr>
                <w:sz w:val="18"/>
              </w:rPr>
            </w:pPr>
            <w:r>
              <w:rPr>
                <w:sz w:val="18"/>
                <w:szCs w:val="18"/>
              </w:rPr>
              <w:t xml:space="preserve">Nube, cómputo elástico</w:t>
            </w:r>
          </w:p>
        </w:tc>
        <w:tc>
          <w:tcPr>
            <w:tcW w:w="3116" w:type="dxa"/>
            <w:vAlign w:val="top"/>
          </w:tcPr>
          <w:p>
            <w:pPr>
              <w:spacing w:before="40" w:after="40"/>
              <w:rPr>
                <w:sz w:val="18"/>
              </w:rPr>
            </w:pPr>
            <w:r>
              <w:rPr>
                <w:sz w:val="18"/>
                <w:szCs w:val="18"/>
              </w:rPr>
              <w:t xml:space="preserve">RT-03.09</w:t>
            </w:r>
          </w:p>
        </w:tc>
      </w:tr>
    </w:tbl>
    <w:p>
      <w:pPr>
        <w:spacing w:before="0" w:after="100"/>
      </w:pPr>
    </w:p>
    <w:p>
      <w:pPr>
        <w:pBdr>
          <w:bottom w:val="single" w:sz="6" w:space="1" w:color="C8D2DE"/>
        </w:pBdr>
        <w:spacing w:before="160" w:after="160"/>
      </w:pPr>
    </w:p>
    <w:p>
      <w:pPr>
        <w:pStyle w:val="Heading2"/>
        <w:keepNext/>
        <w:spacing w:before="260" w:after="100"/>
      </w:pPr>
      <w:r>
        <w:t xml:space="preserve">5.3 Dispositivo a bordo — especificación T-11</w:t>
      </w:r>
    </w:p>
    <w:p>
      <w:pPr>
        <w:pStyle w:val="Heading3"/>
        <w:keepNext/>
        <w:spacing w:before="200" w:after="80"/>
      </w:pPr>
      <w:r>
        <w:t xml:space="preserve">5.3.1 No es un dispositivo: son tres funciones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Función</w:t>
            </w:r>
          </w:p>
        </w:tc>
        <w:tc>
          <w:tcPr>
            <w:tcW w:w="3116" w:type="dxa"/>
            <w:shd w:val="clear" w:fill="EDF2F8"/>
            <w:vAlign w:val="top"/>
          </w:tcPr>
          <w:p>
            <w:pPr>
              <w:spacing w:before="40" w:after="40"/>
              <w:rPr>
                <w:sz w:val="18"/>
              </w:rPr>
            </w:pPr>
            <w:r>
              <w:rPr>
                <w:b/>
                <w:sz w:val="18"/>
                <w:szCs w:val="18"/>
              </w:rPr>
              <w:t xml:space="preserve">Qué hace</w:t>
            </w:r>
          </w:p>
        </w:tc>
        <w:tc>
          <w:tcPr>
            <w:tcW w:w="3116" w:type="dxa"/>
            <w:shd w:val="clear" w:fill="EDF2F8"/>
            <w:vAlign w:val="top"/>
          </w:tcPr>
          <w:p>
            <w:pPr>
              <w:spacing w:before="40" w:after="40"/>
              <w:rPr>
                <w:sz w:val="18"/>
              </w:rPr>
            </w:pPr>
            <w:r>
              <w:rPr>
                <w:b/>
                <w:sz w:val="18"/>
                <w:szCs w:val="18"/>
              </w:rPr>
              <w:t xml:space="preserve">Por qué es obligatoria</w:t>
            </w:r>
          </w:p>
        </w:tc>
      </w:tr>
      <w:tr>
        <w:trPr>
          <w:cantSplit/>
        </w:trPr>
        <w:tc>
          <w:tcPr>
            <w:tcW w:w="3116" w:type="dxa"/>
            <w:vAlign w:val="top"/>
          </w:tcPr>
          <w:p>
            <w:pPr>
              <w:spacing w:before="40" w:after="40"/>
              <w:rPr>
                <w:sz w:val="18"/>
              </w:rPr>
            </w:pPr>
            <w:r>
              <w:rPr>
                <w:b/>
                <w:sz w:val="18"/>
                <w:szCs w:val="18"/>
              </w:rPr>
              <w:t xml:space="preserve">A. Unidad telemática</w:t>
            </w:r>
          </w:p>
        </w:tc>
        <w:tc>
          <w:tcPr>
            <w:tcW w:w="3116" w:type="dxa"/>
            <w:vAlign w:val="top"/>
          </w:tcPr>
          <w:p>
            <w:pPr>
              <w:spacing w:before="40" w:after="40"/>
              <w:rPr>
                <w:sz w:val="18"/>
              </w:rPr>
            </w:pPr>
            <w:r>
              <w:rPr>
                <w:sz w:val="18"/>
                <w:szCs w:val="18"/>
              </w:rPr>
              <w:t xml:space="preserve">GNSS, buffer no volátil, CAN/FMS, evaluación local de geocercas, cálculo local de jornada</w:t>
            </w:r>
          </w:p>
        </w:tc>
        <w:tc>
          <w:tcPr>
            <w:tcW w:w="3116" w:type="dxa"/>
            <w:vAlign w:val="top"/>
          </w:tcPr>
          <w:p>
            <w:pPr>
              <w:spacing w:before="40" w:after="40"/>
              <w:rPr>
                <w:sz w:val="18"/>
              </w:rPr>
            </w:pPr>
            <w:r>
              <w:rPr>
                <w:sz w:val="18"/>
                <w:szCs w:val="18"/>
              </w:rPr>
              <w:t xml:space="preserve">RT-03.10, RT-06.01 del Caso</w:t>
            </w:r>
          </w:p>
        </w:tc>
      </w:tr>
      <w:tr>
        <w:trPr>
          <w:cantSplit/>
        </w:trPr>
        <w:tc>
          <w:tcPr>
            <w:tcW w:w="3116" w:type="dxa"/>
            <w:vAlign w:val="top"/>
          </w:tcPr>
          <w:p>
            <w:pPr>
              <w:spacing w:before="40" w:after="40"/>
              <w:rPr>
                <w:sz w:val="18"/>
              </w:rPr>
            </w:pPr>
            <w:r>
              <w:rPr>
                <w:b/>
                <w:sz w:val="18"/>
                <w:szCs w:val="18"/>
              </w:rPr>
              <w:t xml:space="preserve">B. Módulo satelital SBD</w:t>
            </w:r>
          </w:p>
        </w:tc>
        <w:tc>
          <w:tcPr>
            <w:tcW w:w="3116" w:type="dxa"/>
            <w:vAlign w:val="top"/>
          </w:tcPr>
          <w:p>
            <w:pPr>
              <w:spacing w:before="40" w:after="40"/>
              <w:rPr>
                <w:sz w:val="18"/>
              </w:rPr>
            </w:pPr>
            <w:r>
              <w:rPr>
                <w:sz w:val="18"/>
                <w:szCs w:val="18"/>
              </w:rPr>
              <w:t xml:space="preserve">Posición y eventos críticos fuera de cobertura celular</w:t>
            </w:r>
          </w:p>
        </w:tc>
        <w:tc>
          <w:tcPr>
            <w:tcW w:w="3116" w:type="dxa"/>
            <w:vAlign w:val="top"/>
          </w:tcPr>
          <w:p>
            <w:pPr>
              <w:spacing w:before="40" w:after="40"/>
              <w:rPr>
                <w:sz w:val="18"/>
              </w:rPr>
            </w:pPr>
            <w:r>
              <w:rPr>
                <w:sz w:val="18"/>
                <w:szCs w:val="18"/>
              </w:rPr>
              <w:t xml:space="preserve">Restricción 4 · solo subconjunto por riesgo</w:t>
            </w:r>
          </w:p>
        </w:tc>
      </w:tr>
      <w:tr>
        <w:trPr>
          <w:cantSplit/>
        </w:trPr>
        <w:tc>
          <w:tcPr>
            <w:tcW w:w="3116" w:type="dxa"/>
            <w:vAlign w:val="top"/>
          </w:tcPr>
          <w:p>
            <w:pPr>
              <w:spacing w:before="40" w:after="40"/>
              <w:rPr>
                <w:sz w:val="18"/>
              </w:rPr>
            </w:pPr>
            <w:r>
              <w:rPr>
                <w:b/>
                <w:sz w:val="18"/>
                <w:szCs w:val="18"/>
              </w:rPr>
              <w:t xml:space="preserve">C. Identificación del conductor</w:t>
            </w:r>
          </w:p>
        </w:tc>
        <w:tc>
          <w:tcPr>
            <w:tcW w:w="3116" w:type="dxa"/>
            <w:vAlign w:val="top"/>
          </w:tcPr>
          <w:p>
            <w:pPr>
              <w:spacing w:before="40" w:after="40"/>
              <w:rPr>
                <w:sz w:val="18"/>
              </w:rPr>
            </w:pPr>
            <w:r>
              <w:rPr>
                <w:sz w:val="18"/>
                <w:szCs w:val="18"/>
              </w:rPr>
              <w:t xml:space="preserve">Atribuye el viaje a una persona </w:t>
            </w:r>
            <w:r>
              <w:rPr>
                <w:b/>
                <w:sz w:val="18"/>
                <w:szCs w:val="18"/>
              </w:rPr>
              <w:t xml:space="preserve">sin acción del conductor</w:t>
            </w:r>
          </w:p>
        </w:tc>
        <w:tc>
          <w:tcPr>
            <w:tcW w:w="3116" w:type="dxa"/>
            <w:vAlign w:val="top"/>
          </w:tcPr>
          <w:p>
            <w:pPr>
              <w:spacing w:before="40" w:after="40"/>
              <w:rPr>
                <w:sz w:val="18"/>
              </w:rPr>
            </w:pPr>
            <w:r>
              <w:rPr>
                <w:sz w:val="18"/>
                <w:szCs w:val="18"/>
              </w:rPr>
              <w:t xml:space="preserve">RT-12.11</w:t>
            </w:r>
          </w:p>
        </w:tc>
      </w:tr>
    </w:tbl>
    <w:p>
      <w:pPr>
        <w:spacing w:before="0" w:after="100"/>
      </w:pPr>
    </w:p>
    <w:p>
      <w:pPr>
        <w:spacing w:before="0" w:after="140" w:line="264" w:lineRule="auto"/>
      </w:pPr>
      <w:r>
        <w:rPr>
          <w:b/>
        </w:rPr>
        <w:t xml:space="preserve">Son al menos dos piezas físicas por camión en la población satelital</w:t>
      </w:r>
      <w:r>
        <w:t xml:space="preserve">, con impacto en tiempo de instalación, arnés, y en el stock de repuestos del 10 % que exige el numeral 8.4 (pág. 20/51).</w:t>
      </w:r>
    </w:p>
    <w:p>
      <w:pPr>
        <w:pStyle w:val="Heading3"/>
        <w:keepNext/>
        <w:spacing w:before="200" w:after="80"/>
      </w:pPr>
      <w:r>
        <w:t xml:space="preserve">5.3.2 El cálculo de las 72 h — respuesta al Cap. 14.2</w:t>
      </w:r>
    </w:p>
    <w:p>
      <w:pPr>
        <w:spacing w:before="0" w:after="140" w:line="264" w:lineRule="auto"/>
      </w:pPr>
      <w:r>
        <w:t xml:space="preserve">El Cap. 14.2 del Caso (pág. 30/49) marca como </w:t>
      </w:r>
      <w:r>
        <w:rPr>
          <w:b/>
        </w:rPr>
        <w:t xml:space="preserve">«a estimar y declarar como supuesto»</w:t>
      </w:r>
      <w:r>
        <w:t xml:space="preserve"> el «volumen que debe almacenar el dispositivo a bordo durante 72 horas sin cobertura», y advierte: «valores sin derivación, se evaluará como dimensionamiento no realizado».</w:t>
      </w:r>
    </w:p>
    <w:p>
      <w:pPr>
        <w:spacing w:before="0" w:after="140" w:line="264" w:lineRule="auto"/>
      </w:pPr>
      <w:r>
        <w:rPr>
          <w:b/>
        </w:rPr>
        <w:t xml:space="preserve">Supuestos de la derivación (declararlos todos):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Supuesto</w:t>
            </w:r>
          </w:p>
        </w:tc>
        <w:tc>
          <w:tcPr>
            <w:tcW w:w="3116" w:type="dxa"/>
            <w:shd w:val="clear" w:fill="EDF2F8"/>
            <w:vAlign w:val="top"/>
          </w:tcPr>
          <w:p>
            <w:pPr>
              <w:spacing w:before="40" w:after="40"/>
              <w:rPr>
                <w:sz w:val="18"/>
              </w:rPr>
            </w:pPr>
            <w:r>
              <w:rPr>
                <w:b/>
                <w:sz w:val="18"/>
                <w:szCs w:val="18"/>
              </w:rPr>
              <w:t xml:space="preserve">Valor</w:t>
            </w:r>
          </w:p>
        </w:tc>
        <w:tc>
          <w:tcPr>
            <w:tcW w:w="3116" w:type="dxa"/>
            <w:shd w:val="clear" w:fill="EDF2F8"/>
            <w:vAlign w:val="top"/>
          </w:tcPr>
          <w:p>
            <w:pPr>
              <w:spacing w:before="40" w:after="40"/>
              <w:rPr>
                <w:sz w:val="18"/>
              </w:rPr>
            </w:pPr>
            <w:r>
              <w:rPr>
                <w:b/>
                <w:sz w:val="18"/>
                <w:szCs w:val="18"/>
              </w:rPr>
              <w:t xml:space="preserve">Origen</w:t>
            </w:r>
          </w:p>
        </w:tc>
      </w:tr>
      <w:tr>
        <w:trPr>
          <w:cantSplit/>
        </w:trPr>
        <w:tc>
          <w:tcPr>
            <w:tcW w:w="3116" w:type="dxa"/>
            <w:vAlign w:val="top"/>
          </w:tcPr>
          <w:p>
            <w:pPr>
              <w:spacing w:before="40" w:after="40"/>
              <w:rPr>
                <w:sz w:val="18"/>
              </w:rPr>
            </w:pPr>
            <w:r>
              <w:rPr>
                <w:sz w:val="18"/>
                <w:szCs w:val="18"/>
              </w:rPr>
              <w:t xml:space="preserve">Km por camión al año</w:t>
            </w:r>
          </w:p>
        </w:tc>
        <w:tc>
          <w:tcPr>
            <w:tcW w:w="3116" w:type="dxa"/>
            <w:vAlign w:val="top"/>
          </w:tcPr>
          <w:p>
            <w:pPr>
              <w:spacing w:before="40" w:after="40"/>
              <w:rPr>
                <w:sz w:val="18"/>
              </w:rPr>
            </w:pPr>
            <w:r>
              <w:rPr>
                <w:sz w:val="18"/>
                <w:szCs w:val="18"/>
              </w:rPr>
              <w:t xml:space="preserve">41.000.000 ÷ 374 ≈ 109.600</w:t>
            </w:r>
          </w:p>
        </w:tc>
        <w:tc>
          <w:tcPr>
            <w:tcW w:w="3116" w:type="dxa"/>
            <w:vAlign w:val="top"/>
          </w:tcPr>
          <w:p>
            <w:pPr>
              <w:spacing w:before="40" w:after="40"/>
              <w:rPr>
                <w:sz w:val="18"/>
              </w:rPr>
            </w:pPr>
            <w:r>
              <w:rPr>
                <w:sz w:val="18"/>
                <w:szCs w:val="18"/>
              </w:rPr>
              <w:t xml:space="preserve">Cap. 14.1, pág. 29/49</w:t>
            </w:r>
          </w:p>
        </w:tc>
      </w:tr>
      <w:tr>
        <w:trPr>
          <w:cantSplit/>
        </w:trPr>
        <w:tc>
          <w:tcPr>
            <w:tcW w:w="3116" w:type="dxa"/>
            <w:vAlign w:val="top"/>
          </w:tcPr>
          <w:p>
            <w:pPr>
              <w:spacing w:before="40" w:after="40"/>
              <w:rPr>
                <w:sz w:val="18"/>
              </w:rPr>
            </w:pPr>
            <w:r>
              <w:rPr>
                <w:sz w:val="18"/>
                <w:szCs w:val="18"/>
              </w:rPr>
              <w:t xml:space="preserve">Velocidad comercial media</w:t>
            </w:r>
          </w:p>
        </w:tc>
        <w:tc>
          <w:tcPr>
            <w:tcW w:w="3116" w:type="dxa"/>
            <w:vAlign w:val="top"/>
          </w:tcPr>
          <w:p>
            <w:pPr>
              <w:spacing w:before="40" w:after="40"/>
              <w:rPr>
                <w:sz w:val="18"/>
              </w:rPr>
            </w:pPr>
            <w:r>
              <w:rPr>
                <w:sz w:val="18"/>
                <w:szCs w:val="18"/>
              </w:rPr>
              <w:t xml:space="preserve">55 km/h</w:t>
            </w:r>
          </w:p>
        </w:tc>
        <w:tc>
          <w:tcPr>
            <w:tcW w:w="3116" w:type="dxa"/>
            <w:vAlign w:val="top"/>
          </w:tcPr>
          <w:p>
            <w:pPr>
              <w:spacing w:before="40" w:after="40"/>
              <w:rPr>
                <w:sz w:val="18"/>
              </w:rPr>
            </w:pPr>
            <w:r>
              <w:rPr>
                <w:sz w:val="18"/>
                <w:szCs w:val="18"/>
              </w:rPr>
              <w:t xml:space="preserve">Supuesto D4</w:t>
            </w:r>
          </w:p>
        </w:tc>
      </w:tr>
      <w:tr>
        <w:trPr>
          <w:cantSplit/>
        </w:trPr>
        <w:tc>
          <w:tcPr>
            <w:tcW w:w="3116" w:type="dxa"/>
            <w:vAlign w:val="top"/>
          </w:tcPr>
          <w:p>
            <w:pPr>
              <w:spacing w:before="40" w:after="40"/>
              <w:rPr>
                <w:sz w:val="18"/>
              </w:rPr>
            </w:pPr>
            <w:r>
              <w:rPr>
                <w:sz w:val="18"/>
                <w:szCs w:val="18"/>
              </w:rPr>
              <w:t xml:space="preserve">Horas de marcha en 72 h calendario</w:t>
            </w:r>
          </w:p>
        </w:tc>
        <w:tc>
          <w:tcPr>
            <w:tcW w:w="3116" w:type="dxa"/>
            <w:vAlign w:val="top"/>
          </w:tcPr>
          <w:p>
            <w:pPr>
              <w:spacing w:before="40" w:after="40"/>
              <w:rPr>
                <w:sz w:val="18"/>
              </w:rPr>
            </w:pPr>
            <w:r>
              <w:rPr>
                <w:sz w:val="18"/>
                <w:szCs w:val="18"/>
              </w:rPr>
              <w:t xml:space="preserve">≈ 30 h</w:t>
            </w:r>
          </w:p>
        </w:tc>
        <w:tc>
          <w:tcPr>
            <w:tcW w:w="3116" w:type="dxa"/>
            <w:vAlign w:val="top"/>
          </w:tcPr>
          <w:p>
            <w:pPr>
              <w:spacing w:before="40" w:after="40"/>
              <w:rPr>
                <w:sz w:val="18"/>
              </w:rPr>
            </w:pPr>
            <w:r>
              <w:rPr>
                <w:sz w:val="18"/>
                <w:szCs w:val="18"/>
              </w:rPr>
              <w:t xml:space="preserve">Art. 25 bis Código del Trabajo: descansos obligatorios</w:t>
            </w:r>
          </w:p>
        </w:tc>
      </w:tr>
      <w:tr>
        <w:trPr>
          <w:cantSplit/>
        </w:trPr>
        <w:tc>
          <w:tcPr>
            <w:tcW w:w="3116" w:type="dxa"/>
            <w:vAlign w:val="top"/>
          </w:tcPr>
          <w:p>
            <w:pPr>
              <w:spacing w:before="40" w:after="40"/>
              <w:rPr>
                <w:sz w:val="18"/>
              </w:rPr>
            </w:pPr>
            <w:r>
              <w:rPr>
                <w:sz w:val="18"/>
                <w:szCs w:val="18"/>
              </w:rPr>
              <w:t xml:space="preserve">Registro de posición</w:t>
            </w:r>
          </w:p>
        </w:tc>
        <w:tc>
          <w:tcPr>
            <w:tcW w:w="3116" w:type="dxa"/>
            <w:vAlign w:val="top"/>
          </w:tcPr>
          <w:p>
            <w:pPr>
              <w:spacing w:before="40" w:after="40"/>
              <w:rPr>
                <w:sz w:val="18"/>
              </w:rPr>
            </w:pPr>
            <w:r>
              <w:rPr>
                <w:sz w:val="18"/>
                <w:szCs w:val="18"/>
              </w:rPr>
              <w:t xml:space="preserve">64 B</w:t>
            </w:r>
          </w:p>
        </w:tc>
        <w:tc>
          <w:tcPr>
            <w:tcW w:w="3116" w:type="dxa"/>
            <w:vAlign w:val="top"/>
          </w:tcPr>
          <w:p>
            <w:pPr>
              <w:spacing w:before="40" w:after="40"/>
              <w:rPr>
                <w:sz w:val="18"/>
              </w:rPr>
            </w:pPr>
            <w:r>
              <w:rPr>
                <w:sz w:val="18"/>
                <w:szCs w:val="18"/>
              </w:rPr>
              <w:t xml:space="preserve">Supuesto D4: timestamp, lat, lon, alt, velocidad, rumbo, satélites, HDOP, estado E/S</w:t>
            </w:r>
          </w:p>
        </w:tc>
      </w:tr>
      <w:tr>
        <w:trPr>
          <w:cantSplit/>
        </w:trPr>
        <w:tc>
          <w:tcPr>
            <w:tcW w:w="3116" w:type="dxa"/>
            <w:vAlign w:val="top"/>
          </w:tcPr>
          <w:p>
            <w:pPr>
              <w:spacing w:before="40" w:after="40"/>
              <w:rPr>
                <w:sz w:val="18"/>
              </w:rPr>
            </w:pPr>
            <w:r>
              <w:rPr>
                <w:sz w:val="18"/>
                <w:szCs w:val="18"/>
              </w:rPr>
              <w:t xml:space="preserve">Muestra de telemetría FMS/CAN</w:t>
            </w:r>
          </w:p>
        </w:tc>
        <w:tc>
          <w:tcPr>
            <w:tcW w:w="3116" w:type="dxa"/>
            <w:vAlign w:val="top"/>
          </w:tcPr>
          <w:p>
            <w:pPr>
              <w:spacing w:before="40" w:after="40"/>
              <w:rPr>
                <w:sz w:val="18"/>
              </w:rPr>
            </w:pPr>
            <w:r>
              <w:rPr>
                <w:sz w:val="18"/>
                <w:szCs w:val="18"/>
              </w:rPr>
              <w:t xml:space="preserve">160 B</w:t>
            </w:r>
          </w:p>
        </w:tc>
        <w:tc>
          <w:tcPr>
            <w:tcW w:w="3116" w:type="dxa"/>
            <w:vAlign w:val="top"/>
          </w:tcPr>
          <w:p>
            <w:pPr>
              <w:spacing w:before="40" w:after="40"/>
              <w:rPr>
                <w:sz w:val="18"/>
              </w:rPr>
            </w:pPr>
            <w:r>
              <w:rPr>
                <w:sz w:val="18"/>
                <w:szCs w:val="18"/>
              </w:rPr>
              <w:t xml:space="preserve">Supuesto D4</w:t>
            </w:r>
          </w:p>
        </w:tc>
      </w:tr>
      <w:tr>
        <w:trPr>
          <w:cantSplit/>
        </w:trPr>
        <w:tc>
          <w:tcPr>
            <w:tcW w:w="3116" w:type="dxa"/>
            <w:vAlign w:val="top"/>
          </w:tcPr>
          <w:p>
            <w:pPr>
              <w:spacing w:before="40" w:after="40"/>
              <w:rPr>
                <w:sz w:val="18"/>
              </w:rPr>
            </w:pPr>
            <w:r>
              <w:rPr>
                <w:sz w:val="18"/>
                <w:szCs w:val="18"/>
              </w:rPr>
              <w:t xml:space="preserve">Evento discreto</w:t>
            </w:r>
          </w:p>
        </w:tc>
        <w:tc>
          <w:tcPr>
            <w:tcW w:w="3116" w:type="dxa"/>
            <w:vAlign w:val="top"/>
          </w:tcPr>
          <w:p>
            <w:pPr>
              <w:spacing w:before="40" w:after="40"/>
              <w:rPr>
                <w:sz w:val="18"/>
              </w:rPr>
            </w:pPr>
            <w:r>
              <w:rPr>
                <w:sz w:val="18"/>
                <w:szCs w:val="18"/>
              </w:rPr>
              <w:t xml:space="preserve">80 B</w:t>
            </w:r>
          </w:p>
        </w:tc>
        <w:tc>
          <w:tcPr>
            <w:tcW w:w="3116" w:type="dxa"/>
            <w:vAlign w:val="top"/>
          </w:tcPr>
          <w:p>
            <w:pPr>
              <w:spacing w:before="40" w:after="40"/>
              <w:rPr>
                <w:sz w:val="18"/>
              </w:rPr>
            </w:pPr>
            <w:r>
              <w:rPr>
                <w:sz w:val="18"/>
                <w:szCs w:val="18"/>
              </w:rPr>
              <w:t xml:space="preserve">Supuesto D4</w:t>
            </w:r>
          </w:p>
        </w:tc>
      </w:tr>
      <w:tr>
        <w:trPr>
          <w:cantSplit/>
        </w:trPr>
        <w:tc>
          <w:tcPr>
            <w:tcW w:w="3116" w:type="dxa"/>
            <w:vAlign w:val="top"/>
          </w:tcPr>
          <w:p>
            <w:pPr>
              <w:spacing w:before="40" w:after="40"/>
              <w:rPr>
                <w:sz w:val="18"/>
              </w:rPr>
            </w:pPr>
            <w:r>
              <w:rPr>
                <w:sz w:val="18"/>
                <w:szCs w:val="18"/>
              </w:rPr>
              <w:t xml:space="preserve">DET en XML firmado</w:t>
            </w:r>
          </w:p>
        </w:tc>
        <w:tc>
          <w:tcPr>
            <w:tcW w:w="3116" w:type="dxa"/>
            <w:vAlign w:val="top"/>
          </w:tcPr>
          <w:p>
            <w:pPr>
              <w:spacing w:before="40" w:after="40"/>
              <w:rPr>
                <w:sz w:val="18"/>
              </w:rPr>
            </w:pPr>
            <w:r>
              <w:rPr>
                <w:sz w:val="18"/>
                <w:szCs w:val="18"/>
              </w:rPr>
              <w:t xml:space="preserve">40 KB</w:t>
            </w:r>
          </w:p>
        </w:tc>
        <w:tc>
          <w:tcPr>
            <w:tcW w:w="3116" w:type="dxa"/>
            <w:vAlign w:val="top"/>
          </w:tcPr>
          <w:p>
            <w:pPr>
              <w:spacing w:before="40" w:after="40"/>
              <w:rPr>
                <w:sz w:val="18"/>
              </w:rPr>
            </w:pPr>
            <w:r>
              <w:rPr>
                <w:sz w:val="18"/>
                <w:szCs w:val="18"/>
              </w:rPr>
              <w:t xml:space="preserve">Supuesto D4</w:t>
            </w:r>
          </w:p>
        </w:tc>
      </w:tr>
      <w:tr>
        <w:trPr>
          <w:cantSplit/>
        </w:trPr>
        <w:tc>
          <w:tcPr>
            <w:tcW w:w="3116" w:type="dxa"/>
            <w:vAlign w:val="top"/>
          </w:tcPr>
          <w:p>
            <w:pPr>
              <w:spacing w:before="40" w:after="40"/>
              <w:rPr>
                <w:sz w:val="18"/>
              </w:rPr>
            </w:pPr>
            <w:r>
              <w:rPr>
                <w:sz w:val="18"/>
                <w:szCs w:val="18"/>
              </w:rPr>
              <w:t xml:space="preserve">Conformidad de entrega con firma gráfica</w:t>
            </w:r>
          </w:p>
        </w:tc>
        <w:tc>
          <w:tcPr>
            <w:tcW w:w="3116" w:type="dxa"/>
            <w:vAlign w:val="top"/>
          </w:tcPr>
          <w:p>
            <w:pPr>
              <w:spacing w:before="40" w:after="40"/>
              <w:rPr>
                <w:sz w:val="18"/>
              </w:rPr>
            </w:pPr>
            <w:r>
              <w:rPr>
                <w:sz w:val="18"/>
                <w:szCs w:val="18"/>
              </w:rPr>
              <w:t xml:space="preserve">30 KB</w:t>
            </w:r>
          </w:p>
        </w:tc>
        <w:tc>
          <w:tcPr>
            <w:tcW w:w="3116" w:type="dxa"/>
            <w:vAlign w:val="top"/>
          </w:tcPr>
          <w:p>
            <w:pPr>
              <w:spacing w:before="40" w:after="40"/>
              <w:rPr>
                <w:sz w:val="18"/>
              </w:rPr>
            </w:pPr>
            <w:r>
              <w:rPr>
                <w:sz w:val="18"/>
                <w:szCs w:val="18"/>
              </w:rPr>
              <w:t xml:space="preserve">Supuesto D4</w:t>
            </w:r>
          </w:p>
        </w:tc>
      </w:tr>
      <w:tr>
        <w:trPr>
          <w:cantSplit/>
        </w:trPr>
        <w:tc>
          <w:tcPr>
            <w:tcW w:w="3116" w:type="dxa"/>
            <w:vAlign w:val="top"/>
          </w:tcPr>
          <w:p>
            <w:pPr>
              <w:spacing w:before="40" w:after="40"/>
              <w:rPr>
                <w:sz w:val="18"/>
              </w:rPr>
            </w:pPr>
            <w:r>
              <w:rPr>
                <w:sz w:val="18"/>
                <w:szCs w:val="18"/>
              </w:rPr>
              <w:t xml:space="preserve">Fotografía de evidencia comprimida</w:t>
            </w:r>
          </w:p>
        </w:tc>
        <w:tc>
          <w:tcPr>
            <w:tcW w:w="3116" w:type="dxa"/>
            <w:vAlign w:val="top"/>
          </w:tcPr>
          <w:p>
            <w:pPr>
              <w:spacing w:before="40" w:after="40"/>
              <w:rPr>
                <w:sz w:val="18"/>
              </w:rPr>
            </w:pPr>
            <w:r>
              <w:rPr>
                <w:sz w:val="18"/>
                <w:szCs w:val="18"/>
              </w:rPr>
              <w:t xml:space="preserve">300 KB</w:t>
            </w:r>
          </w:p>
        </w:tc>
        <w:tc>
          <w:tcPr>
            <w:tcW w:w="3116" w:type="dxa"/>
            <w:vAlign w:val="top"/>
          </w:tcPr>
          <w:p>
            <w:pPr>
              <w:spacing w:before="40" w:after="40"/>
              <w:rPr>
                <w:sz w:val="18"/>
              </w:rPr>
            </w:pPr>
            <w:r>
              <w:rPr>
                <w:sz w:val="18"/>
                <w:szCs w:val="18"/>
              </w:rPr>
              <w:t xml:space="preserve">Supuesto D4</w:t>
            </w:r>
          </w:p>
        </w:tc>
      </w:tr>
    </w:tbl>
    <w:p>
      <w:pPr>
        <w:spacing w:before="0" w:after="100"/>
      </w:pPr>
    </w:p>
    <w:p>
      <w:pPr>
        <w:spacing w:before="0" w:after="140" w:line="264" w:lineRule="auto"/>
      </w:pPr>
      <w:r>
        <w:rPr>
          <w:b/>
        </w:rPr>
        <w:t xml:space="preserve">Resultado, tres escenarios de muestreo: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Concepto</w:t>
            </w:r>
          </w:p>
        </w:tc>
        <w:tc>
          <w:tcPr>
            <w:tcW w:w="2337" w:type="dxa"/>
            <w:shd w:val="clear" w:fill="EDF2F8"/>
            <w:vAlign w:val="top"/>
          </w:tcPr>
          <w:p>
            <w:pPr>
              <w:spacing w:before="40" w:after="40"/>
              <w:rPr>
                <w:sz w:val="18"/>
              </w:rPr>
            </w:pPr>
            <w:r>
              <w:rPr>
                <w:b/>
                <w:sz w:val="18"/>
                <w:szCs w:val="18"/>
              </w:rPr>
              <w:t xml:space="preserve">A: 10 s en marcha</w:t>
            </w:r>
          </w:p>
        </w:tc>
        <w:tc>
          <w:tcPr>
            <w:tcW w:w="2337" w:type="dxa"/>
            <w:shd w:val="clear" w:fill="EDF2F8"/>
            <w:vAlign w:val="top"/>
          </w:tcPr>
          <w:p>
            <w:pPr>
              <w:spacing w:before="40" w:after="40"/>
              <w:rPr>
                <w:sz w:val="18"/>
              </w:rPr>
            </w:pPr>
            <w:r>
              <w:rPr>
                <w:b/>
                <w:sz w:val="18"/>
                <w:szCs w:val="18"/>
              </w:rPr>
              <w:t xml:space="preserve">B: 30 s (recomendado)</w:t>
            </w:r>
          </w:p>
        </w:tc>
        <w:tc>
          <w:tcPr>
            <w:tcW w:w="2337" w:type="dxa"/>
            <w:shd w:val="clear" w:fill="EDF2F8"/>
            <w:vAlign w:val="top"/>
          </w:tcPr>
          <w:p>
            <w:pPr>
              <w:spacing w:before="40" w:after="40"/>
              <w:rPr>
                <w:sz w:val="18"/>
              </w:rPr>
            </w:pPr>
            <w:r>
              <w:rPr>
                <w:b/>
                <w:sz w:val="18"/>
                <w:szCs w:val="18"/>
              </w:rPr>
              <w:t xml:space="preserve">C: 60 s</w:t>
            </w:r>
          </w:p>
        </w:tc>
      </w:tr>
      <w:tr>
        <w:trPr>
          <w:cantSplit/>
        </w:trPr>
        <w:tc>
          <w:tcPr>
            <w:tcW w:w="2337" w:type="dxa"/>
            <w:vAlign w:val="top"/>
          </w:tcPr>
          <w:p>
            <w:pPr>
              <w:spacing w:before="40" w:after="40"/>
              <w:rPr>
                <w:sz w:val="18"/>
              </w:rPr>
            </w:pPr>
            <w:r>
              <w:rPr>
                <w:sz w:val="18"/>
                <w:szCs w:val="18"/>
              </w:rPr>
              <w:t xml:space="preserve">Posición</w:t>
            </w:r>
          </w:p>
        </w:tc>
        <w:tc>
          <w:tcPr>
            <w:tcW w:w="2337" w:type="dxa"/>
            <w:vAlign w:val="top"/>
          </w:tcPr>
          <w:p>
            <w:pPr>
              <w:spacing w:before="40" w:after="40"/>
              <w:rPr>
                <w:sz w:val="18"/>
              </w:rPr>
            </w:pPr>
            <w:r>
              <w:rPr>
                <w:sz w:val="18"/>
                <w:szCs w:val="18"/>
              </w:rPr>
              <w:t xml:space="preserve">723 KB</w:t>
            </w:r>
          </w:p>
        </w:tc>
        <w:tc>
          <w:tcPr>
            <w:tcW w:w="2337" w:type="dxa"/>
            <w:vAlign w:val="top"/>
          </w:tcPr>
          <w:p>
            <w:pPr>
              <w:spacing w:before="40" w:after="40"/>
              <w:rPr>
                <w:sz w:val="18"/>
              </w:rPr>
            </w:pPr>
            <w:r>
              <w:rPr>
                <w:sz w:val="18"/>
                <w:szCs w:val="18"/>
              </w:rPr>
              <w:t xml:space="preserve">263 KB</w:t>
            </w:r>
          </w:p>
        </w:tc>
        <w:tc>
          <w:tcPr>
            <w:tcW w:w="2337" w:type="dxa"/>
            <w:vAlign w:val="top"/>
          </w:tcPr>
          <w:p>
            <w:pPr>
              <w:spacing w:before="40" w:after="40"/>
              <w:rPr>
                <w:sz w:val="18"/>
              </w:rPr>
            </w:pPr>
            <w:r>
              <w:rPr>
                <w:sz w:val="18"/>
                <w:szCs w:val="18"/>
              </w:rPr>
              <w:t xml:space="preserve">147 KB</w:t>
            </w:r>
          </w:p>
        </w:tc>
      </w:tr>
      <w:tr>
        <w:trPr>
          <w:cantSplit/>
        </w:trPr>
        <w:tc>
          <w:tcPr>
            <w:tcW w:w="2337" w:type="dxa"/>
            <w:vAlign w:val="top"/>
          </w:tcPr>
          <w:p>
            <w:pPr>
              <w:spacing w:before="40" w:after="40"/>
              <w:rPr>
                <w:sz w:val="18"/>
              </w:rPr>
            </w:pPr>
            <w:r>
              <w:rPr>
                <w:sz w:val="18"/>
                <w:szCs w:val="18"/>
              </w:rPr>
              <w:t xml:space="preserve">Telemetría FMS 1/min</w:t>
            </w:r>
          </w:p>
        </w:tc>
        <w:tc>
          <w:tcPr>
            <w:tcW w:w="2337" w:type="dxa"/>
            <w:vAlign w:val="top"/>
          </w:tcPr>
          <w:p>
            <w:pPr>
              <w:spacing w:before="40" w:after="40"/>
              <w:rPr>
                <w:sz w:val="18"/>
              </w:rPr>
            </w:pPr>
            <w:r>
              <w:rPr>
                <w:sz w:val="18"/>
                <w:szCs w:val="18"/>
              </w:rPr>
              <w:t xml:space="preserve">288 KB</w:t>
            </w:r>
          </w:p>
        </w:tc>
        <w:tc>
          <w:tcPr>
            <w:tcW w:w="2337" w:type="dxa"/>
            <w:vAlign w:val="top"/>
          </w:tcPr>
          <w:p>
            <w:pPr>
              <w:spacing w:before="40" w:after="40"/>
              <w:rPr>
                <w:sz w:val="18"/>
              </w:rPr>
            </w:pPr>
            <w:r>
              <w:rPr>
                <w:sz w:val="18"/>
                <w:szCs w:val="18"/>
              </w:rPr>
              <w:t xml:space="preserve">288 KB</w:t>
            </w:r>
          </w:p>
        </w:tc>
        <w:tc>
          <w:tcPr>
            <w:tcW w:w="2337" w:type="dxa"/>
            <w:vAlign w:val="top"/>
          </w:tcPr>
          <w:p>
            <w:pPr>
              <w:spacing w:before="40" w:after="40"/>
              <w:rPr>
                <w:sz w:val="18"/>
              </w:rPr>
            </w:pPr>
            <w:r>
              <w:rPr>
                <w:sz w:val="18"/>
                <w:szCs w:val="18"/>
              </w:rPr>
              <w:t xml:space="preserve">288 KB</w:t>
            </w:r>
          </w:p>
        </w:tc>
      </w:tr>
      <w:tr>
        <w:trPr>
          <w:cantSplit/>
        </w:trPr>
        <w:tc>
          <w:tcPr>
            <w:tcW w:w="2337" w:type="dxa"/>
            <w:vAlign w:val="top"/>
          </w:tcPr>
          <w:p>
            <w:pPr>
              <w:spacing w:before="40" w:after="40"/>
              <w:rPr>
                <w:sz w:val="18"/>
              </w:rPr>
            </w:pPr>
            <w:r>
              <w:rPr>
                <w:sz w:val="18"/>
                <w:szCs w:val="18"/>
              </w:rPr>
              <w:t xml:space="preserve">Eventos discretos</w:t>
            </w:r>
          </w:p>
        </w:tc>
        <w:tc>
          <w:tcPr>
            <w:tcW w:w="2337" w:type="dxa"/>
            <w:vAlign w:val="top"/>
          </w:tcPr>
          <w:p>
            <w:pPr>
              <w:spacing w:before="40" w:after="40"/>
              <w:rPr>
                <w:sz w:val="18"/>
              </w:rPr>
            </w:pPr>
            <w:r>
              <w:rPr>
                <w:sz w:val="18"/>
                <w:szCs w:val="18"/>
              </w:rPr>
              <w:t xml:space="preserve">32 KB</w:t>
            </w:r>
          </w:p>
        </w:tc>
        <w:tc>
          <w:tcPr>
            <w:tcW w:w="2337" w:type="dxa"/>
            <w:vAlign w:val="top"/>
          </w:tcPr>
          <w:p>
            <w:pPr>
              <w:spacing w:before="40" w:after="40"/>
              <w:rPr>
                <w:sz w:val="18"/>
              </w:rPr>
            </w:pPr>
            <w:r>
              <w:rPr>
                <w:sz w:val="18"/>
                <w:szCs w:val="18"/>
              </w:rPr>
              <w:t xml:space="preserve">32 KB</w:t>
            </w:r>
          </w:p>
        </w:tc>
        <w:tc>
          <w:tcPr>
            <w:tcW w:w="2337" w:type="dxa"/>
            <w:vAlign w:val="top"/>
          </w:tcPr>
          <w:p>
            <w:pPr>
              <w:spacing w:before="40" w:after="40"/>
              <w:rPr>
                <w:sz w:val="18"/>
              </w:rPr>
            </w:pPr>
            <w:r>
              <w:rPr>
                <w:sz w:val="18"/>
                <w:szCs w:val="18"/>
              </w:rPr>
              <w:t xml:space="preserve">32 KB</w:t>
            </w:r>
          </w:p>
        </w:tc>
      </w:tr>
      <w:tr>
        <w:trPr>
          <w:cantSplit/>
        </w:trPr>
        <w:tc>
          <w:tcPr>
            <w:tcW w:w="2337" w:type="dxa"/>
            <w:vAlign w:val="top"/>
          </w:tcPr>
          <w:p>
            <w:pPr>
              <w:spacing w:before="40" w:after="40"/>
              <w:rPr>
                <w:sz w:val="18"/>
              </w:rPr>
            </w:pPr>
            <w:r>
              <w:rPr>
                <w:sz w:val="18"/>
                <w:szCs w:val="18"/>
              </w:rPr>
              <w:t xml:space="preserve">Documentos del viaje (≈3 viajes)</w:t>
            </w:r>
          </w:p>
        </w:tc>
        <w:tc>
          <w:tcPr>
            <w:tcW w:w="2337" w:type="dxa"/>
            <w:vAlign w:val="top"/>
          </w:tcPr>
          <w:p>
            <w:pPr>
              <w:spacing w:before="40" w:after="40"/>
              <w:rPr>
                <w:sz w:val="18"/>
              </w:rPr>
            </w:pPr>
            <w:r>
              <w:rPr>
                <w:sz w:val="18"/>
                <w:szCs w:val="18"/>
              </w:rPr>
              <w:t xml:space="preserve">195 KB</w:t>
            </w:r>
          </w:p>
        </w:tc>
        <w:tc>
          <w:tcPr>
            <w:tcW w:w="2337" w:type="dxa"/>
            <w:vAlign w:val="top"/>
          </w:tcPr>
          <w:p>
            <w:pPr>
              <w:spacing w:before="40" w:after="40"/>
              <w:rPr>
                <w:sz w:val="18"/>
              </w:rPr>
            </w:pPr>
            <w:r>
              <w:rPr>
                <w:sz w:val="18"/>
                <w:szCs w:val="18"/>
              </w:rPr>
              <w:t xml:space="preserve">195 KB</w:t>
            </w:r>
          </w:p>
        </w:tc>
        <w:tc>
          <w:tcPr>
            <w:tcW w:w="2337" w:type="dxa"/>
            <w:vAlign w:val="top"/>
          </w:tcPr>
          <w:p>
            <w:pPr>
              <w:spacing w:before="40" w:after="40"/>
              <w:rPr>
                <w:sz w:val="18"/>
              </w:rPr>
            </w:pPr>
            <w:r>
              <w:rPr>
                <w:sz w:val="18"/>
                <w:szCs w:val="18"/>
              </w:rPr>
              <w:t xml:space="preserve">195 KB</w:t>
            </w:r>
          </w:p>
        </w:tc>
      </w:tr>
      <w:tr>
        <w:trPr>
          <w:cantSplit/>
        </w:trPr>
        <w:tc>
          <w:tcPr>
            <w:tcW w:w="2337" w:type="dxa"/>
            <w:vAlign w:val="top"/>
          </w:tcPr>
          <w:p>
            <w:pPr>
              <w:spacing w:before="40" w:after="40"/>
              <w:rPr>
                <w:sz w:val="18"/>
              </w:rPr>
            </w:pPr>
            <w:r>
              <w:rPr>
                <w:b/>
                <w:sz w:val="18"/>
                <w:szCs w:val="18"/>
              </w:rPr>
              <w:t xml:space="preserve">Subtotal sin imágenes</w:t>
            </w:r>
          </w:p>
        </w:tc>
        <w:tc>
          <w:tcPr>
            <w:tcW w:w="2337" w:type="dxa"/>
            <w:vAlign w:val="top"/>
          </w:tcPr>
          <w:p>
            <w:pPr>
              <w:spacing w:before="40" w:after="40"/>
              <w:rPr>
                <w:sz w:val="18"/>
              </w:rPr>
            </w:pPr>
            <w:r>
              <w:rPr>
                <w:b/>
                <w:sz w:val="18"/>
                <w:szCs w:val="18"/>
              </w:rPr>
              <w:t xml:space="preserve">≈ 1,3 MB</w:t>
            </w:r>
          </w:p>
        </w:tc>
        <w:tc>
          <w:tcPr>
            <w:tcW w:w="2337" w:type="dxa"/>
            <w:vAlign w:val="top"/>
          </w:tcPr>
          <w:p>
            <w:pPr>
              <w:spacing w:before="40" w:after="40"/>
              <w:rPr>
                <w:sz w:val="18"/>
              </w:rPr>
            </w:pPr>
            <w:r>
              <w:rPr>
                <w:b/>
                <w:sz w:val="18"/>
                <w:szCs w:val="18"/>
              </w:rPr>
              <w:t xml:space="preserve">≈ 0,8 MB</w:t>
            </w:r>
          </w:p>
        </w:tc>
        <w:tc>
          <w:tcPr>
            <w:tcW w:w="2337" w:type="dxa"/>
            <w:vAlign w:val="top"/>
          </w:tcPr>
          <w:p>
            <w:pPr>
              <w:spacing w:before="40" w:after="40"/>
              <w:rPr>
                <w:sz w:val="18"/>
              </w:rPr>
            </w:pPr>
            <w:r>
              <w:rPr>
                <w:b/>
                <w:sz w:val="18"/>
                <w:szCs w:val="18"/>
              </w:rPr>
              <w:t xml:space="preserve">≈ 0,7 MB</w:t>
            </w:r>
          </w:p>
        </w:tc>
      </w:tr>
      <w:tr>
        <w:trPr>
          <w:cantSplit/>
        </w:trPr>
        <w:tc>
          <w:tcPr>
            <w:tcW w:w="2337" w:type="dxa"/>
            <w:vAlign w:val="top"/>
          </w:tcPr>
          <w:p>
            <w:pPr>
              <w:spacing w:before="40" w:after="40"/>
              <w:rPr>
                <w:sz w:val="18"/>
              </w:rPr>
            </w:pPr>
            <w:r>
              <w:rPr>
                <w:sz w:val="18"/>
                <w:szCs w:val="18"/>
              </w:rPr>
              <w:t xml:space="preserve">Con 8 fotos de evidencia</w:t>
            </w:r>
          </w:p>
        </w:tc>
        <w:tc>
          <w:tcPr>
            <w:tcW w:w="2337" w:type="dxa"/>
            <w:vAlign w:val="top"/>
          </w:tcPr>
          <w:p>
            <w:pPr>
              <w:spacing w:before="40" w:after="40"/>
              <w:rPr>
                <w:sz w:val="18"/>
              </w:rPr>
            </w:pPr>
            <w:r>
              <w:rPr>
                <w:sz w:val="18"/>
                <w:szCs w:val="18"/>
              </w:rPr>
              <w:t xml:space="preserve">≈ 3,7 MB</w:t>
            </w:r>
          </w:p>
        </w:tc>
        <w:tc>
          <w:tcPr>
            <w:tcW w:w="2337" w:type="dxa"/>
            <w:vAlign w:val="top"/>
          </w:tcPr>
          <w:p>
            <w:pPr>
              <w:spacing w:before="40" w:after="40"/>
              <w:rPr>
                <w:sz w:val="18"/>
              </w:rPr>
            </w:pPr>
            <w:r>
              <w:rPr>
                <w:sz w:val="18"/>
                <w:szCs w:val="18"/>
              </w:rPr>
              <w:t xml:space="preserve">≈ 3,2 MB</w:t>
            </w:r>
          </w:p>
        </w:tc>
        <w:tc>
          <w:tcPr>
            <w:tcW w:w="2337" w:type="dxa"/>
            <w:vAlign w:val="top"/>
          </w:tcPr>
          <w:p>
            <w:pPr>
              <w:spacing w:before="40" w:after="40"/>
              <w:rPr>
                <w:sz w:val="18"/>
              </w:rPr>
            </w:pPr>
            <w:r>
              <w:rPr>
                <w:sz w:val="18"/>
                <w:szCs w:val="18"/>
              </w:rPr>
              <w:t xml:space="preserve">≈ 3,1 MB</w:t>
            </w:r>
          </w:p>
        </w:tc>
      </w:tr>
      <w:tr>
        <w:trPr>
          <w:cantSplit/>
        </w:trPr>
        <w:tc>
          <w:tcPr>
            <w:tcW w:w="2337" w:type="dxa"/>
            <w:vAlign w:val="top"/>
          </w:tcPr>
          <w:p>
            <w:pPr>
              <w:spacing w:before="40" w:after="40"/>
              <w:rPr>
                <w:sz w:val="18"/>
              </w:rPr>
            </w:pPr>
            <w:r>
              <w:rPr>
                <w:b/>
                <w:sz w:val="18"/>
                <w:szCs w:val="18"/>
              </w:rPr>
              <w:t xml:space="preserve">Con factor ×3</w:t>
            </w:r>
            <w:r>
              <w:rPr>
                <w:sz w:val="18"/>
                <w:szCs w:val="18"/>
              </w:rPr>
              <w:t xml:space="preserve"> (formato, índices, journaling, cola de reintento) y margen RT-08.05</w:t>
            </w:r>
          </w:p>
        </w:tc>
        <w:tc>
          <w:tcPr>
            <w:tcW w:w="2337" w:type="dxa"/>
            <w:vAlign w:val="top"/>
          </w:tcPr>
          <w:p>
            <w:pPr>
              <w:spacing w:before="40" w:after="40"/>
              <w:rPr>
                <w:sz w:val="18"/>
              </w:rPr>
            </w:pPr>
            <w:r>
              <w:rPr>
                <w:b/>
                <w:sz w:val="18"/>
                <w:szCs w:val="18"/>
              </w:rPr>
              <w:t xml:space="preserve">≈ 11 MB</w:t>
            </w:r>
          </w:p>
        </w:tc>
        <w:tc>
          <w:tcPr>
            <w:tcW w:w="2337" w:type="dxa"/>
            <w:vAlign w:val="top"/>
          </w:tcPr>
          <w:p>
            <w:pPr>
              <w:spacing w:before="40" w:after="40"/>
              <w:rPr>
                <w:sz w:val="18"/>
              </w:rPr>
            </w:pPr>
            <w:r>
              <w:rPr>
                <w:b/>
                <w:sz w:val="18"/>
                <w:szCs w:val="18"/>
              </w:rPr>
              <w:t xml:space="preserve">≈ 10 MB</w:t>
            </w:r>
          </w:p>
        </w:tc>
        <w:tc>
          <w:tcPr>
            <w:tcW w:w="2337" w:type="dxa"/>
            <w:vAlign w:val="top"/>
          </w:tcPr>
          <w:p>
            <w:pPr>
              <w:spacing w:before="40" w:after="40"/>
              <w:rPr>
                <w:sz w:val="18"/>
              </w:rPr>
            </w:pPr>
            <w:r>
              <w:rPr>
                <w:b/>
                <w:sz w:val="18"/>
                <w:szCs w:val="18"/>
              </w:rPr>
              <w:t xml:space="preserve">≈ 9 MB</w:t>
            </w:r>
          </w:p>
        </w:tc>
      </w:tr>
    </w:tbl>
    <w:p>
      <w:pPr>
        <w:spacing w:before="0" w:after="100"/>
      </w:pPr>
    </w:p>
    <w:p>
      <w:pPr>
        <w:pStyle w:val="Heading3"/>
        <w:keepNext/>
        <w:spacing w:before="200" w:after="80"/>
      </w:pPr>
      <w:r>
        <w:t xml:space="preserve">5.3.3 La conclusión que cambia la especificación</w:t>
      </w:r>
    </w:p>
    <w:p>
      <w:pPr>
        <w:spacing w:before="0" w:after="140" w:line="264" w:lineRule="auto"/>
      </w:pPr>
      <w:r>
        <w:rPr>
          <w:b/>
        </w:rPr>
        <w:t xml:space="preserve">No basta con dimensionar para 72 h.</w:t>
      </w:r>
      <w:r>
        <w:t xml:space="preserve"> RT-10.05 del Caso (pág. 32/49) declara que los cierres del paso fronterizo por nieve son </w:t>
      </w:r>
      <w:r>
        <w:rPr>
          <w:b/>
        </w:rPr>
        <w:t xml:space="preserve">de hasta 12 días continuos</w:t>
      </w:r>
      <w:r>
        <w:t xml:space="preserve"> y «deben absorberse sin desplazar hitos». Un camión detenido 12 días en zona cordillerana sin cobertura sigue obligado a no perder ningún registro.</w:t>
      </w:r>
    </w:p>
    <w:p>
      <w:pPr>
        <w:spacing w:before="0" w:after="140" w:line="264" w:lineRule="auto"/>
      </w:pPr>
      <w:r>
        <w:t xml:space="preserve">→ </w:t>
      </w:r>
      <w:r>
        <w:rPr>
          <w:b/>
        </w:rPr>
        <w:t xml:space="preserve">Exigencia de pliego propuesta: almacenamiento no volátil ≥ 8 GB</w:t>
      </w:r>
      <w:r>
        <w:t xml:space="preserve">, no «suficiente para 72 h». El sobrecosto de subir a esa capacidad es marginal y elimina toda una clase de riesgo.</w:t>
      </w:r>
    </w:p>
    <w:p>
      <w:pPr>
        <w:shd w:val="clear" w:fill="FDF3F3"/>
        <w:pBdr>
          <w:left w:val="single" w:sz="18" w:space="8" w:color="D98A8A"/>
        </w:pBdr>
        <w:ind w:left="200"/>
        <w:spacing w:before="100" w:after="140"/>
      </w:pPr>
      <w:r>
        <w:rPr>
          <w:sz w:val="21"/>
          <w:szCs w:val="21"/>
        </w:rPr>
        <w:t xml:space="preserve">⚠ </w:t>
      </w:r>
      <w:r>
        <w:rPr>
          <w:b/>
          <w:sz w:val="21"/>
          <w:szCs w:val="21"/>
        </w:rPr>
        <w:t xml:space="preserve">Esto descarta el LINK 740 como unidad telemática</w:t>
      </w:r>
      <w:r>
        <w:rPr>
          <w:sz w:val="21"/>
          <w:szCs w:val="21"/>
        </w:rPr>
        <w:t xml:space="preserve">, y hay que decirlo con datos: | Especificación | LINK 740 (verificado en webfleet.com) | Lo que el caso exige | |---|---|---| | Memoria interna / buffer | </w:t>
      </w:r>
      <w:r>
        <w:rPr>
          <w:b/>
          <w:sz w:val="21"/>
          <w:szCs w:val="21"/>
        </w:rPr>
        <w:t xml:space="preserve">No publicada</w:t>
      </w:r>
      <w:r>
        <w:rPr>
          <w:sz w:val="21"/>
          <w:szCs w:val="21"/>
        </w:rPr>
        <w:t xml:space="preserve"> [F] | 72 h sin pérdida (RT-03.10) | | Protección de ingreso | </w:t>
      </w:r>
      <w:r>
        <w:rPr>
          <w:b/>
          <w:sz w:val="21"/>
          <w:szCs w:val="21"/>
        </w:rPr>
        <w:t xml:space="preserve">IP20</w:t>
      </w:r>
      <w:r>
        <w:rPr>
          <w:sz w:val="21"/>
          <w:szCs w:val="21"/>
        </w:rPr>
        <w:t xml:space="preserve"> [F] | «polvo» nombrado explícitamente (Cap. 6, pág. 14/49); RT-08.12 | | Temperatura de operación | </w:t>
      </w:r>
      <w:r>
        <w:rPr>
          <w:b/>
          <w:sz w:val="21"/>
          <w:szCs w:val="21"/>
        </w:rPr>
        <w:t xml:space="preserve">−30 a +70 °C</w:t>
      </w:r>
      <w:r>
        <w:rPr>
          <w:sz w:val="21"/>
          <w:szCs w:val="21"/>
        </w:rPr>
        <w:t xml:space="preserve"> [F] | «temperatura extrema en el norte» (Cap. 6, pág. 14/49) | | Módem | </w:t>
      </w:r>
      <w:r>
        <w:rPr>
          <w:b/>
          <w:sz w:val="21"/>
          <w:szCs w:val="21"/>
        </w:rPr>
        <w:t xml:space="preserve">LTE-M y GPRS</w:t>
      </w:r>
      <w:r>
        <w:rPr>
          <w:sz w:val="21"/>
          <w:szCs w:val="21"/>
        </w:rPr>
        <w:t xml:space="preserve"> [F] | RT-03.15 del Caso: sincronizar 72 h de datos en ≤20 min | El Iridium Edge sí cumple (−40/+85 °C, IP67), pero </w:t>
      </w:r>
      <w:r>
        <w:rPr>
          <w:b/>
          <w:sz w:val="21"/>
          <w:szCs w:val="21"/>
        </w:rPr>
        <w:t xml:space="preserve">el conjunto vale lo que vale su componente más débil</w:t>
      </w:r>
      <w:r>
        <w:rPr>
          <w:sz w:val="21"/>
          <w:szCs w:val="21"/>
        </w:rPr>
        <w:t xml:space="preserve">, y ese es el LINK. </w:t>
      </w:r>
      <w:r>
        <w:rPr>
          <w:rFonts w:ascii="Consolas" w:hAnsi="Consolas"/>
          <w:color w:val="5B21B6"/>
          <w:sz w:val="19"/>
          <w:szCs w:val="19"/>
          <w:shd w:val="clear" w:fill="F1F4F8"/>
        </w:rPr>
        <w:t xml:space="preserve">BLOQUE2-INVESTIGACION-TECNICA.md</w:t>
      </w:r>
      <w:r>
        <w:rPr>
          <w:sz w:val="21"/>
          <w:szCs w:val="21"/>
        </w:rPr>
        <w:t xml:space="preserve"> afirmaba que el rango térmico «cubre sin problema las condiciones del norte»: eso es cierto del Edge y falso del conjunto. </w:t>
      </w:r>
      <w:r>
        <w:rPr>
          <w:b/>
          <w:sz w:val="21"/>
          <w:szCs w:val="21"/>
        </w:rPr>
        <w:t xml:space="preserve">Corregir esa línea.</w:t>
      </w:r>
    </w:p>
    <w:p>
      <w:pPr>
        <w:pStyle w:val="Heading3"/>
        <w:keepNext/>
        <w:spacing w:before="200" w:after="80"/>
      </w:pPr>
      <w:r>
        <w:t xml:space="preserve">5.3.4 La brecha del producto, verificada en la ficha que nos pasaron</w:t>
      </w:r>
    </w:p>
    <w:p>
      <w:pPr>
        <w:spacing w:before="0" w:after="140" w:line="264" w:lineRule="auto"/>
      </w:pPr>
      <w:r>
        <w:t xml:space="preserve">Ficha </w:t>
      </w:r>
      <w:r>
        <w:rPr>
          <w:rFonts w:ascii="Consolas" w:hAnsi="Consolas"/>
          <w:color w:val="5B21B6"/>
          <w:sz w:val="20"/>
          <w:szCs w:val="20"/>
          <w:shd w:val="clear" w:fill="F1F4F8"/>
        </w:rPr>
        <w:t xml:space="preserve">wf-wfsat-datasheet.cl.pdf</w:t>
      </w:r>
      <w:r>
        <w:t xml:space="preserve">, sección ALMACENAMIENTO DE DATOS, textual:</w:t>
      </w:r>
    </w:p>
    <w:p>
      <w:pPr>
        <w:shd w:val="clear" w:fill="F4F7FB"/>
        <w:pBdr>
          <w:left w:val="single" w:sz="18" w:space="8" w:color="9CC3F5"/>
        </w:pBdr>
        <w:ind w:left="200"/>
        <w:spacing w:before="100" w:after="140"/>
      </w:pPr>
      <w:r>
        <w:rPr>
          <w:sz w:val="21"/>
          <w:szCs w:val="21"/>
        </w:rPr>
        <w:t xml:space="preserve">«Cuando se transita en áreas de red remotas, los datos se almacenan por hasta </w:t>
      </w:r>
      <w:r>
        <w:rPr>
          <w:b/>
          <w:sz w:val="21"/>
          <w:szCs w:val="21"/>
        </w:rPr>
        <w:t xml:space="preserve">40 horas</w:t>
      </w:r>
      <w:r>
        <w:rPr>
          <w:sz w:val="21"/>
          <w:szCs w:val="21"/>
        </w:rPr>
        <w:t xml:space="preserve"> mientras se conduce.»</w:t>
      </w:r>
    </w:p>
    <w:p>
      <w:pPr>
        <w:spacing w:before="0" w:after="140" w:line="264" w:lineRule="auto"/>
      </w:pPr>
      <w:r>
        <w:rPr>
          <w:b/>
        </w:rPr>
        <w:t xml:space="preserve">40 &lt; 72.</w:t>
      </w:r>
      <w:r>
        <w:t xml:space="preserve"> Incumplimiento directo y verificable de RT-03.10.</w:t>
      </w:r>
    </w:p>
    <w:p>
      <w:pPr>
        <w:spacing w:before="0" w:after="140" w:line="264" w:lineRule="auto"/>
      </w:pPr>
      <w:r>
        <w:t xml:space="preserve">Dos hallazgos más de la misma ficha que nadie había levantado:</w:t>
      </w:r>
    </w:p>
    <w:p>
      <w:pPr>
        <w:ind w:left="340"/>
        <w:spacing w:before="20" w:after="60"/>
      </w:pPr>
      <w:r>
        <w:t xml:space="preserve">1.  </w:t>
      </w:r>
      <w:r>
        <w:rPr>
          <w:b/>
        </w:rPr>
        <w:t xml:space="preserve">La conmutación a satélite tarda 10 minutos.</w:t>
      </w:r>
      <w:r>
        <w:t xml:space="preserve"> «Después de un período de 10 minutos sin red</w:t>
      </w:r>
    </w:p>
    <w:p>
      <w:pPr>
        <w:spacing w:before="0" w:after="140" w:line="264" w:lineRule="auto"/>
      </w:pPr>
      <w:r>
        <w:t xml:space="preserve">móvil, cambia a comunicación satelital.» En una sombra corta el camión queda ciego 10 min.</w:t>
      </w:r>
    </w:p>
    <w:p>
      <w:pPr>
        <w:ind w:left="340"/>
        <w:spacing w:before="20" w:after="60"/>
      </w:pPr>
      <w:r>
        <w:t xml:space="preserve">2.  </w:t>
      </w:r>
      <w:r>
        <w:rPr>
          <w:b/>
        </w:rPr>
        <w:t xml:space="preserve">En modo satelital la posición llega a la plataforma cada 10 minutos.</w:t>
      </w:r>
      <w:r>
        <w:t xml:space="preserve"> Nota al pie 3:</w:t>
      </w:r>
    </w:p>
    <w:p>
      <w:pPr>
        <w:spacing w:before="0" w:after="140" w:line="264" w:lineRule="auto"/>
      </w:pPr>
      <w:r>
        <w:t xml:space="preserve">«Intervalos de posición cada minuto. Actualización de la última posición </w:t>
      </w:r>
      <w:r>
        <w:rPr>
          <w:b/>
        </w:rPr>
        <w:t xml:space="preserve">cada 10 minutos</w:t>
      </w:r>
      <w:r>
        <w:t xml:space="preserve"> en WEBFLEET.» → </w:t>
      </w:r>
      <w:r>
        <w:rPr>
          <w:b/>
        </w:rPr>
        <w:t xml:space="preserve">Esto es incompatible con un botón de emergencia útil fuera de cobertura.</w:t>
      </w:r>
    </w:p>
    <w:p>
      <w:pPr>
        <w:pStyle w:val="Heading3"/>
        <w:keepNext/>
        <w:spacing w:before="200" w:after="80"/>
      </w:pPr>
      <w:r>
        <w:t xml:space="preserve">5.3.5 Sobre el botón de emergencia</w:t>
      </w:r>
    </w:p>
    <w:p>
      <w:pPr>
        <w:spacing w:before="0" w:after="140" w:line="264" w:lineRule="auto"/>
      </w:pPr>
      <w:r>
        <w:t xml:space="preserve">Dijiste que el aparato de Webfleet SAT trae botón de emergencia. </w:t>
      </w:r>
      <w:r>
        <w:rPr>
          <w:b/>
        </w:rPr>
        <w:t xml:space="preserve">No aparece en la ficha que enviaste.</w:t>
      </w:r>
      <w:r>
        <w:t xml:space="preserve"> La ficha describe seguimiento satelital, geocercas, red Iridium, almacenamiento y diseño resistente. No menciona botón de pánico. En la familia LINK el botón se implementa sobre las entradas del conector de E/S o mediante un terminal de conductor, no viene integrado.</w:t>
      </w:r>
    </w:p>
    <w:p>
      <w:pPr>
        <w:spacing w:before="0" w:after="140" w:line="264" w:lineRule="auto"/>
      </w:pPr>
      <w:r>
        <w:t xml:space="preserve">Y hay un conflicto físico que hay que verificar con el proveedor: la propia ficha dice que </w:t>
      </w:r>
      <w:r>
        <w:rPr>
          <w:b/>
        </w:rPr>
        <w:t xml:space="preserve">el Iridium Edge ocupa el conector de entrada/salida múltiple del LINK 7XX</w:t>
      </w:r>
      <w:r>
        <w:t xml:space="preserve"> a través del cable adaptador. Si el botón de pánico y el lector de identificación del conductor también necesitan ese conector, hay competencia por el mismo recurso. → </w:t>
      </w:r>
      <w:r>
        <w:rPr>
          <w:b/>
        </w:rPr>
        <w:t xml:space="preserve">verificación con el fabricante</w:t>
      </w:r>
      <w:r>
        <w:t xml:space="preserve">.</w:t>
      </w:r>
    </w:p>
    <w:p>
      <w:pPr>
        <w:spacing w:before="0" w:after="140" w:line="264" w:lineRule="auto"/>
      </w:pPr>
      <w:r>
        <w:rPr>
          <w:b/>
        </w:rPr>
        <w:t xml:space="preserve">Cómo se escribe el umbral sin contradecirse.</w:t>
      </w:r>
      <w:r>
        <w:t xml:space="preserve"> RT-09.01 del Caso (pág. 32/49) exige transmisión del pánico a la torre en «no superior a 15 segundos </w:t>
      </w:r>
      <w:r>
        <w:rPr>
          <w:b/>
        </w:rPr>
        <w:t xml:space="preserve">con cobertura</w:t>
      </w:r>
      <w:r>
        <w:t xml:space="preserve">». El requisito ya se limita él mismo. No hay contradicción con Iridium: hay un hueco que debemos llenar declarando y fundamentando un umbral propio para el modo satelital.</w:t>
      </w:r>
    </w:p>
    <w:p>
      <w:pPr>
        <w:shd w:val="clear" w:fill="F4F7FB"/>
        <w:pBdr>
          <w:left w:val="single" w:sz="18" w:space="8" w:color="9CC3F5"/>
        </w:pBdr>
        <w:ind w:left="200"/>
        <w:spacing w:before="100" w:after="140"/>
      </w:pPr>
      <w:r>
        <w:rPr>
          <w:b/>
          <w:sz w:val="21"/>
          <w:szCs w:val="21"/>
        </w:rPr>
        <w:t xml:space="preserve">Corrección a `BLOQUE2-INVESTIGACION-TECNICA.md` §5.5:</w:t>
      </w:r>
      <w:r>
        <w:rPr>
          <w:sz w:val="21"/>
          <w:szCs w:val="21"/>
        </w:rPr>
        <w:t xml:space="preserve"> planteaba esto como inconsistencia a resolver. No lo es. Es un parámetro que el caso deja abierto y que nosotros declaramos.</w:t>
      </w:r>
    </w:p>
    <w:p>
      <w:pPr>
        <w:pStyle w:val="Heading3"/>
        <w:keepNext/>
        <w:spacing w:before="200" w:after="80"/>
      </w:pPr>
      <w:r>
        <w:t xml:space="preserve">5.3.6 Alternativa recomendada y ADR</w:t>
      </w:r>
    </w:p>
    <w:p>
      <w:pPr>
        <w:spacing w:before="0" w:after="140" w:line="264" w:lineRule="auto"/>
      </w:pPr>
      <w:r>
        <w:t xml:space="preserve">RT-02.04 (pág. 7/51) hace del registro de decisiones de arquitectura un </w:t>
      </w:r>
      <w:r>
        <w:rPr>
          <w:b/>
        </w:rPr>
        <w:t xml:space="preserve">entregable contractual</w:t>
      </w:r>
      <w:r>
        <w:t xml:space="preserve">, con alternativa escogida, descartadas y criterio. Mínimo dos alternativas.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Criterio (todos con fuente)</w:t>
            </w:r>
          </w:p>
        </w:tc>
        <w:tc>
          <w:tcPr>
            <w:tcW w:w="4675" w:type="dxa"/>
            <w:shd w:val="clear" w:fill="EDF2F8"/>
            <w:vAlign w:val="top"/>
          </w:tcPr>
          <w:p>
            <w:pPr>
              <w:spacing w:before="40" w:after="40"/>
              <w:rPr>
                <w:sz w:val="18"/>
              </w:rPr>
            </w:pPr>
            <w:r>
              <w:rPr>
                <w:b/>
                <w:sz w:val="18"/>
                <w:szCs w:val="18"/>
              </w:rPr>
              <w:t xml:space="preserve">Peso</w:t>
            </w:r>
          </w:p>
        </w:tc>
      </w:tr>
      <w:tr>
        <w:trPr>
          <w:cantSplit/>
        </w:trPr>
        <w:tc>
          <w:tcPr>
            <w:tcW w:w="4675" w:type="dxa"/>
            <w:vAlign w:val="top"/>
          </w:tcPr>
          <w:p>
            <w:pPr>
              <w:spacing w:before="40" w:after="40"/>
              <w:rPr>
                <w:sz w:val="18"/>
              </w:rPr>
            </w:pPr>
            <w:r>
              <w:rPr>
                <w:sz w:val="18"/>
                <w:szCs w:val="18"/>
              </w:rPr>
              <w:t xml:space="preserve">Almacenamiento no volátil ≥ 8 GB</w:t>
            </w:r>
          </w:p>
        </w:tc>
        <w:tc>
          <w:tcPr>
            <w:tcW w:w="4675" w:type="dxa"/>
            <w:vAlign w:val="top"/>
          </w:tcPr>
          <w:p>
            <w:pPr>
              <w:spacing w:before="40" w:after="40"/>
              <w:rPr>
                <w:sz w:val="18"/>
              </w:rPr>
            </w:pPr>
            <w:r>
              <w:rPr>
                <w:sz w:val="18"/>
                <w:szCs w:val="18"/>
              </w:rPr>
              <w:t xml:space="preserve">Eliminatorio — RT-03.10 + RT-10.05</w:t>
            </w:r>
          </w:p>
        </w:tc>
      </w:tr>
      <w:tr>
        <w:trPr>
          <w:cantSplit/>
        </w:trPr>
        <w:tc>
          <w:tcPr>
            <w:tcW w:w="4675" w:type="dxa"/>
            <w:vAlign w:val="top"/>
          </w:tcPr>
          <w:p>
            <w:pPr>
              <w:spacing w:before="40" w:after="40"/>
              <w:rPr>
                <w:sz w:val="18"/>
              </w:rPr>
            </w:pPr>
            <w:r>
              <w:rPr>
                <w:sz w:val="18"/>
                <w:szCs w:val="18"/>
              </w:rPr>
              <w:t xml:space="preserve">IP y rango térmico coherentes con cabina polvorienta del norte</w:t>
            </w:r>
          </w:p>
        </w:tc>
        <w:tc>
          <w:tcPr>
            <w:tcW w:w="4675" w:type="dxa"/>
            <w:vAlign w:val="top"/>
          </w:tcPr>
          <w:p>
            <w:pPr>
              <w:spacing w:before="40" w:after="40"/>
              <w:rPr>
                <w:sz w:val="18"/>
              </w:rPr>
            </w:pPr>
            <w:r>
              <w:rPr>
                <w:sz w:val="18"/>
                <w:szCs w:val="18"/>
              </w:rPr>
              <w:t xml:space="preserve">Eliminatorio — RT-08.11, RT-08.12</w:t>
            </w:r>
          </w:p>
        </w:tc>
      </w:tr>
      <w:tr>
        <w:trPr>
          <w:cantSplit/>
        </w:trPr>
        <w:tc>
          <w:tcPr>
            <w:tcW w:w="4675" w:type="dxa"/>
            <w:vAlign w:val="top"/>
          </w:tcPr>
          <w:p>
            <w:pPr>
              <w:spacing w:before="40" w:after="40"/>
              <w:rPr>
                <w:sz w:val="18"/>
              </w:rPr>
            </w:pPr>
            <w:r>
              <w:rPr>
                <w:sz w:val="18"/>
                <w:szCs w:val="18"/>
              </w:rPr>
              <w:t xml:space="preserve">Gestión remota: inventario, configuración, </w:t>
            </w:r>
            <w:r>
              <w:rPr>
                <w:b/>
                <w:sz w:val="18"/>
                <w:szCs w:val="18"/>
              </w:rPr>
              <w:t xml:space="preserve">firmware</w:t>
            </w:r>
            <w:r>
              <w:rPr>
                <w:sz w:val="18"/>
                <w:szCs w:val="18"/>
              </w:rPr>
              <w:t xml:space="preserve">, bloqueo y borrado</w:t>
            </w:r>
          </w:p>
        </w:tc>
        <w:tc>
          <w:tcPr>
            <w:tcW w:w="4675" w:type="dxa"/>
            <w:vAlign w:val="top"/>
          </w:tcPr>
          <w:p>
            <w:pPr>
              <w:spacing w:before="40" w:after="40"/>
              <w:rPr>
                <w:sz w:val="18"/>
              </w:rPr>
            </w:pPr>
            <w:r>
              <w:rPr>
                <w:sz w:val="18"/>
                <w:szCs w:val="18"/>
              </w:rPr>
              <w:t xml:space="preserve">Eliminatorio — RT-03.18</w:t>
            </w:r>
          </w:p>
        </w:tc>
      </w:tr>
      <w:tr>
        <w:trPr>
          <w:cantSplit/>
        </w:trPr>
        <w:tc>
          <w:tcPr>
            <w:tcW w:w="4675" w:type="dxa"/>
            <w:vAlign w:val="top"/>
          </w:tcPr>
          <w:p>
            <w:pPr>
              <w:spacing w:before="40" w:after="40"/>
              <w:rPr>
                <w:sz w:val="18"/>
              </w:rPr>
            </w:pPr>
            <w:r>
              <w:rPr>
                <w:sz w:val="18"/>
                <w:szCs w:val="18"/>
              </w:rPr>
              <w:t xml:space="preserve">Modo de privacidad implementado </w:t>
            </w:r>
            <w:r>
              <w:rPr>
                <w:b/>
                <w:sz w:val="18"/>
                <w:szCs w:val="18"/>
              </w:rPr>
              <w:t xml:space="preserve">en firmware</w:t>
            </w:r>
          </w:p>
        </w:tc>
        <w:tc>
          <w:tcPr>
            <w:tcW w:w="4675" w:type="dxa"/>
            <w:vAlign w:val="top"/>
          </w:tcPr>
          <w:p>
            <w:pPr>
              <w:spacing w:before="40" w:after="40"/>
              <w:rPr>
                <w:sz w:val="18"/>
              </w:rPr>
            </w:pPr>
            <w:r>
              <w:rPr>
                <w:sz w:val="18"/>
                <w:szCs w:val="18"/>
              </w:rPr>
              <w:t xml:space="preserve">Eliminatorio — criterio 29, RT-16.30</w:t>
            </w:r>
          </w:p>
        </w:tc>
      </w:tr>
      <w:tr>
        <w:trPr>
          <w:cantSplit/>
        </w:trPr>
        <w:tc>
          <w:tcPr>
            <w:tcW w:w="4675" w:type="dxa"/>
            <w:vAlign w:val="top"/>
          </w:tcPr>
          <w:p>
            <w:pPr>
              <w:spacing w:before="40" w:after="40"/>
              <w:rPr>
                <w:sz w:val="18"/>
              </w:rPr>
            </w:pPr>
            <w:r>
              <w:rPr>
                <w:sz w:val="18"/>
                <w:szCs w:val="18"/>
              </w:rPr>
              <w:t xml:space="preserve">CAN/FMS + descarga remota de tacógrafo</w:t>
            </w:r>
          </w:p>
        </w:tc>
        <w:tc>
          <w:tcPr>
            <w:tcW w:w="4675" w:type="dxa"/>
            <w:vAlign w:val="top"/>
          </w:tcPr>
          <w:p>
            <w:pPr>
              <w:spacing w:before="40" w:after="40"/>
              <w:rPr>
                <w:sz w:val="18"/>
              </w:rPr>
            </w:pPr>
            <w:r>
              <w:rPr>
                <w:sz w:val="18"/>
                <w:szCs w:val="18"/>
              </w:rPr>
              <w:t xml:space="preserve">Alto — decisiones 12 y 13</w:t>
            </w:r>
          </w:p>
        </w:tc>
      </w:tr>
      <w:tr>
        <w:trPr>
          <w:cantSplit/>
        </w:trPr>
        <w:tc>
          <w:tcPr>
            <w:tcW w:w="4675" w:type="dxa"/>
            <w:vAlign w:val="top"/>
          </w:tcPr>
          <w:p>
            <w:pPr>
              <w:spacing w:before="40" w:after="40"/>
              <w:rPr>
                <w:sz w:val="18"/>
              </w:rPr>
            </w:pPr>
            <w:r>
              <w:rPr>
                <w:sz w:val="18"/>
                <w:szCs w:val="18"/>
              </w:rPr>
              <w:t xml:space="preserve">Instalación que no afecte la garantía del vehículo</w:t>
            </w:r>
          </w:p>
        </w:tc>
        <w:tc>
          <w:tcPr>
            <w:tcW w:w="4675" w:type="dxa"/>
            <w:vAlign w:val="top"/>
          </w:tcPr>
          <w:p>
            <w:pPr>
              <w:spacing w:before="40" w:after="40"/>
              <w:rPr>
                <w:sz w:val="18"/>
              </w:rPr>
            </w:pPr>
            <w:r>
              <w:rPr>
                <w:sz w:val="18"/>
                <w:szCs w:val="18"/>
              </w:rPr>
              <w:t xml:space="preserve">Eliminatorio — restricción 6</w:t>
            </w:r>
          </w:p>
        </w:tc>
      </w:tr>
      <w:tr>
        <w:trPr>
          <w:cantSplit/>
        </w:trPr>
        <w:tc>
          <w:tcPr>
            <w:tcW w:w="4675" w:type="dxa"/>
            <w:vAlign w:val="top"/>
          </w:tcPr>
          <w:p>
            <w:pPr>
              <w:spacing w:before="40" w:after="40"/>
              <w:rPr>
                <w:sz w:val="18"/>
              </w:rPr>
            </w:pPr>
            <w:r>
              <w:rPr>
                <w:sz w:val="18"/>
                <w:szCs w:val="18"/>
              </w:rPr>
              <w:t xml:space="preserve">Disponibilidad de repuestos y ciclo de vida ≥ 56 meses</w:t>
            </w:r>
          </w:p>
        </w:tc>
        <w:tc>
          <w:tcPr>
            <w:tcW w:w="4675" w:type="dxa"/>
            <w:vAlign w:val="top"/>
          </w:tcPr>
          <w:p>
            <w:pPr>
              <w:spacing w:before="40" w:after="40"/>
              <w:rPr>
                <w:sz w:val="18"/>
              </w:rPr>
            </w:pPr>
            <w:r>
              <w:rPr>
                <w:sz w:val="18"/>
                <w:szCs w:val="18"/>
              </w:rPr>
              <w:t xml:space="preserve">Alto — RT-08.13</w:t>
            </w:r>
          </w:p>
        </w:tc>
      </w:tr>
    </w:tbl>
    <w:p>
      <w:pPr>
        <w:spacing w:before="0" w:after="100"/>
      </w:pPr>
    </w:p>
    <w:p>
      <w:pPr>
        <w:spacing w:before="0" w:after="140" w:line="264" w:lineRule="auto"/>
      </w:pPr>
      <w:r>
        <w:rPr>
          <w:b/>
        </w:rPr>
        <w:t xml:space="preserve">Candidato A — Teltonika FMC650 + Iridium Edge.</w:t>
      </w:r>
      <w:r>
        <w:t xml:space="preserve"> Lo verificado:</w:t>
      </w:r>
    </w:p>
    <w:p>
      <w:pPr>
        <w:ind w:left="340"/>
        <w:spacing w:before="20" w:after="60"/>
      </w:pPr>
      <w:r>
        <w:t xml:space="preserve">•  </w:t>
      </w:r>
      <w:r>
        <w:t xml:space="preserve">4G LTE Cat 1, doble SIM o eSIM.</w:t>
      </w:r>
    </w:p>
    <w:p>
      <w:pPr>
        <w:ind w:left="340"/>
        <w:spacing w:before="20" w:after="60"/>
      </w:pPr>
      <w:r>
        <w:t xml:space="preserve">•  </w:t>
      </w:r>
      <w:r>
        <w:t xml:space="preserve">**16 MB de flash interna + ranura microSD hasta 32 GB [?]. Cifra escrita de memoria: las</w:t>
      </w:r>
    </w:p>
    <w:p>
      <w:pPr>
        <w:spacing w:before="0" w:after="140" w:line="264" w:lineRule="auto"/>
      </w:pPr>
      <w:r>
        <w:t xml:space="preserve">búsquedas devolvieron los puertos serie, el CAN y la batería, pero nunca la capacidad de memoria. Confirmar con el distribuidor o eliminarla.</w:t>
      </w:r>
      <w:r>
        <w:rPr>
          <w:b/>
        </w:rPr>
        <w:t xml:space="preserve"> El razonamiento que sí se sostiene sin ella: la flash interna de un equipo de esta clase no basta y </w:t>
      </w:r>
      <w:r>
        <w:t xml:space="preserve">la tarjeta extraíble es la que cumple las 72 h y los 12 días**. La exigencia de ≥8 GB de §5.3.3 no depende de esta cifra. Esto va explícito en el pliego: no «tiene memoria», sino «≥8 GB no volátil».</w:t>
      </w:r>
    </w:p>
    <w:p>
      <w:pPr>
        <w:ind w:left="340"/>
        <w:spacing w:before="20" w:after="60"/>
      </w:pPr>
      <w:r>
        <w:t xml:space="preserve">•  </w:t>
      </w:r>
      <w:r>
        <w:t xml:space="preserve">Interfaces: 2× RS232, 1× RS485, CAN J1939, CAN J1708, 1-Wire, BLE 5.0. </w:t>
      </w:r>
      <w:r>
        <w:rPr>
          <w:b/>
        </w:rPr>
        <w:t xml:space="preserve">[F]</w:t>
      </w:r>
    </w:p>
    <w:p>
      <w:pPr>
        <w:ind w:left="340"/>
        <w:spacing w:before="20" w:after="60"/>
      </w:pPr>
      <w:r>
        <w:t xml:space="preserve">•  </w:t>
      </w:r>
      <w:r>
        <w:t xml:space="preserve">Alimentación 8–32 V DC con protección de sobretensión y polaridad inversa; batería de respaldo</w:t>
      </w:r>
    </w:p>
    <w:p>
      <w:pPr>
        <w:spacing w:before="0" w:after="140" w:line="264" w:lineRule="auto"/>
      </w:pPr>
      <w:r>
        <w:t xml:space="preserve">Ni-MH 550 mAh. </w:t>
      </w:r>
      <w:r>
        <w:rPr>
          <w:b/>
        </w:rPr>
        <w:t xml:space="preserve">[F]</w:t>
      </w:r>
    </w:p>
    <w:p>
      <w:pPr>
        <w:ind w:left="340"/>
        <w:spacing w:before="20" w:after="60"/>
      </w:pPr>
      <w:r>
        <w:t xml:space="preserve">•  </w:t>
      </w:r>
      <w:r>
        <w:rPr>
          <w:b/>
        </w:rPr>
        <w:t xml:space="preserve">Descarga remota de tacógrafo</w:t>
      </w:r>
      <w:r>
        <w:t xml:space="preserve">: DDD, y también TGD español y V1B/C1B franceses; soporta</w:t>
      </w:r>
    </w:p>
    <w:p>
      <w:pPr>
        <w:spacing w:before="0" w:after="140" w:line="264" w:lineRule="auto"/>
      </w:pPr>
      <w:r>
        <w:t xml:space="preserve">Smart Tachograph v2. Se conecta al conector C del tacógrafo (C5 = CAN2H, C7 = CAN2L) cuando la señal RDD no está disponible por FMS. </w:t>
      </w:r>
      <w:r>
        <w:rPr>
          <w:b/>
        </w:rPr>
        <w:t xml:space="preserve">[F]</w:t>
      </w:r>
    </w:p>
    <w:p>
      <w:pPr>
        <w:shd w:val="clear" w:fill="FDF3F3"/>
        <w:pBdr>
          <w:left w:val="single" w:sz="18" w:space="8" w:color="D98A8A"/>
        </w:pBdr>
        <w:ind w:left="200"/>
        <w:spacing w:before="100" w:after="140"/>
      </w:pPr>
      <w:r>
        <w:rPr>
          <w:sz w:val="21"/>
          <w:szCs w:val="21"/>
        </w:rPr>
        <w:t xml:space="preserve">⚠ </w:t>
      </w:r>
      <w:r>
        <w:rPr>
          <w:b/>
          <w:sz w:val="21"/>
          <w:szCs w:val="21"/>
        </w:rPr>
        <w:t xml:space="preserve">Verificar antes de citarlo en el informe:</w:t>
      </w:r>
      <w:r>
        <w:rPr>
          <w:sz w:val="21"/>
          <w:szCs w:val="21"/>
        </w:rPr>
        <w:t xml:space="preserve"> al consultar el catálogo de Teltonika la ficha del FMC650 aparece marcada como </w:t>
      </w:r>
      <w:r>
        <w:rPr>
          <w:i/>
          <w:sz w:val="21"/>
          <w:szCs w:val="21"/>
        </w:rPr>
        <w:t xml:space="preserve">End of life</w:t>
      </w:r>
      <w:r>
        <w:rPr>
          <w:sz w:val="21"/>
          <w:szCs w:val="21"/>
        </w:rPr>
        <w:t xml:space="preserve"> y </w:t>
      </w:r>
      <w:r>
        <w:rPr>
          <w:i/>
          <w:sz w:val="21"/>
          <w:szCs w:val="21"/>
        </w:rPr>
        <w:t xml:space="preserve">Out of stock</w:t>
      </w:r>
      <w:r>
        <w:rPr>
          <w:sz w:val="21"/>
          <w:szCs w:val="21"/>
        </w:rPr>
        <w:t xml:space="preserve"> </w:t>
      </w:r>
      <w:r>
        <w:rPr>
          <w:b/>
          <w:sz w:val="21"/>
          <w:szCs w:val="21"/>
        </w:rPr>
        <w:t xml:space="preserve">[F]</w:t>
      </w:r>
      <w:r>
        <w:rPr>
          <w:sz w:val="21"/>
          <w:szCs w:val="21"/>
        </w:rPr>
        <w:t xml:space="preserve">, mientras que su wiki registra actualizaciones de la guía de instalación en mayo de 2026. Los datos se contradicen. </w:t>
      </w:r>
      <w:r>
        <w:rPr>
          <w:b/>
          <w:sz w:val="21"/>
          <w:szCs w:val="21"/>
        </w:rPr>
        <w:t xml:space="preserve">RT-08.13 obliga a declarar ciclo de vida y disponibilidad de repuestos por 56 meses</w:t>
      </w:r>
      <w:r>
        <w:rPr>
          <w:sz w:val="21"/>
          <w:szCs w:val="21"/>
        </w:rPr>
        <w:t xml:space="preserve">: proponer un producto en fin de vida es un defecto de la propuesta. Confirmar con el distribuidor y, si procede, mover la especificación al sucesor de la familia.</w:t>
      </w:r>
    </w:p>
    <w:p>
      <w:pPr>
        <w:spacing w:before="0" w:after="140" w:line="264" w:lineRule="auto"/>
      </w:pPr>
      <w:r>
        <w:rPr>
          <w:b/>
        </w:rPr>
        <w:t xml:space="preserve">Candidato B — Webfleet LINK 740 + Iridium Edge (la línea que traías).</w:t>
      </w:r>
      <w:r>
        <w:t xml:space="preserve"> Se documenta en el ADR como alternativa evaluada y </w:t>
      </w:r>
      <w:r>
        <w:rPr>
          <w:b/>
        </w:rPr>
        <w:t xml:space="preserve">descartada por especificación</w:t>
      </w:r>
      <w:r>
        <w:t xml:space="preserve">, con las cuatro brechas de §5.3.3 y las 40 h de §5.3.4. Descartarla con datos vale más que no haberla mirado.</w:t>
      </w:r>
    </w:p>
    <w:p>
      <w:pPr>
        <w:spacing w:before="0" w:after="140" w:line="264" w:lineRule="auto"/>
      </w:pPr>
      <w:r>
        <w:rPr>
          <w:b/>
        </w:rPr>
        <w:t xml:space="preserve">Candidato C — Queclink / CalAmp / Geotab GO + IOX satelital.</w:t>
      </w:r>
      <w:r>
        <w:t xml:space="preserve"> Comparar contra la misma tabla.</w:t>
      </w:r>
    </w:p>
    <w:p>
      <w:pPr>
        <w:spacing w:before="0" w:after="140" w:line="264" w:lineRule="auto"/>
      </w:pPr>
      <w:r>
        <w:rPr>
          <w:b/>
        </w:rPr>
        <w:t xml:space="preserve">Y la regla que no se puede romper:</w:t>
      </w:r>
      <w:r>
        <w:t xml:space="preserve"> cualquiera que se elija, </w:t>
      </w:r>
      <w:r>
        <w:rPr>
          <w:b/>
        </w:rPr>
        <w:t xml:space="preserve">Webfleet u otra plataforma SaaS entra como fuente de datos por API, nunca como arquitectura.</w:t>
      </w:r>
      <w:r>
        <w:t xml:space="preserve"> El Cap. 11 (pág. 24/49) dice que el hardware lo compra el CLIENTE y que nosotros especificamos qué comprar. Si el diagrama de despliegue tiene un producto comercial al centro, el Cap. 19 lo lee como no haber entendido el encargo.</w:t>
      </w:r>
    </w:p>
    <w:p>
      <w:pPr>
        <w:pBdr>
          <w:bottom w:val="single" w:sz="6" w:space="1" w:color="C8D2DE"/>
        </w:pBdr>
        <w:spacing w:before="160" w:after="160"/>
      </w:pPr>
    </w:p>
    <w:p>
      <w:pPr>
        <w:pStyle w:val="Heading2"/>
        <w:keepNext/>
        <w:spacing w:before="260" w:after="100"/>
      </w:pPr>
      <w:r>
        <w:t xml:space="preserve">5.4 Conectividad: la arquitectura por capas</w:t>
      </w:r>
    </w:p>
    <w:p>
      <w:pPr>
        <w:spacing w:before="0" w:after="140" w:line="264" w:lineRule="auto"/>
      </w:pPr>
      <w:r>
        <w:rPr>
          <w:b/>
        </w:rPr>
        <w:t xml:space="preserve">Redacción corregida del planteamiento, para que no incumpla nada.</w:t>
      </w:r>
      <w:r>
        <w:t xml:space="preserve"> El error a evitar es presentar el satélite como si redujera la exigencia de almacenamiento. No la reduce.</w:t>
      </w:r>
    </w:p>
    <w:p>
      <w:pPr>
        <w:shd w:val="clear" w:fill="F4F7FB"/>
        <w:pBdr>
          <w:left w:val="single" w:sz="18" w:space="8" w:color="9CC3F5"/>
        </w:pBdr>
        <w:ind w:left="200"/>
        <w:spacing w:before="100" w:after="140"/>
      </w:pPr>
      <w:r>
        <w:rPr>
          <w:b/>
          <w:sz w:val="21"/>
          <w:szCs w:val="21"/>
        </w:rPr>
        <w:t xml:space="preserve">Capa 0 — todas las unidades intervenidas: almacenamiento local.</w:t>
      </w:r>
      <w:r>
        <w:rPr>
          <w:sz w:val="21"/>
          <w:szCs w:val="21"/>
        </w:rPr>
        <w:t xml:space="preserve"> RT-03.10 exige 72 horas continuas </w:t>
      </w:r>
      <w:r>
        <w:rPr>
          <w:b/>
          <w:sz w:val="21"/>
          <w:szCs w:val="21"/>
        </w:rPr>
        <w:t xml:space="preserve">sin cobertura móvil</w:t>
      </w:r>
      <w:r>
        <w:rPr>
          <w:sz w:val="21"/>
          <w:szCs w:val="21"/>
        </w:rPr>
        <w:t xml:space="preserve"> registrando posición, eventos de conducción y jornada, tiempos en puntos de carga y descarga y documentos del viaje, sin pérdida de ningún registro. La disponibilidad de enlace satelital </w:t>
      </w:r>
      <w:r>
        <w:rPr>
          <w:b/>
          <w:sz w:val="21"/>
          <w:szCs w:val="21"/>
        </w:rPr>
        <w:t xml:space="preserve">no releva de este requisito</w:t>
      </w:r>
      <w:r>
        <w:rPr>
          <w:sz w:val="21"/>
          <w:szCs w:val="21"/>
        </w:rPr>
        <w:t xml:space="preserve">, por dos razones independientes: el requisito está escrito sobre la cobertura móvil, y el enlace de ráfaga corta no puede transportar documentos ni evidencia detallada. El almacenamiento local es la base de cumplimiento; el satélite es una capa de visibilidad, no de registro. </w:t>
      </w:r>
      <w:r>
        <w:rPr>
          <w:b/>
          <w:sz w:val="21"/>
          <w:szCs w:val="21"/>
        </w:rPr>
        <w:t xml:space="preserve">Capa 1 — todas las unidades intervenidas: celular como portador primario</w:t>
      </w:r>
      <w:r>
        <w:rPr>
          <w:sz w:val="21"/>
          <w:szCs w:val="21"/>
        </w:rPr>
        <w:t xml:space="preserve">, a tasa completa, con sincronización diferida y reconciliación determinista al recuperar enlace (RT-03.12). </w:t>
      </w:r>
      <w:r>
        <w:rPr>
          <w:b/>
          <w:sz w:val="21"/>
          <w:szCs w:val="21"/>
        </w:rPr>
        <w:t xml:space="preserve">Capa 2 — subconjunto acotado por riesgo: satelital de ráfaga corta.</w:t>
      </w:r>
      <w:r>
        <w:rPr>
          <w:sz w:val="21"/>
          <w:szCs w:val="21"/>
        </w:rPr>
        <w:t xml:space="preserve"> Posición a tasa reducida, eventos críticos y botón de emergencia. La población se determina con la campaña de medición de RT-03.24; hasta entonces se declara como supuesto. </w:t>
      </w:r>
      <w:r>
        <w:rPr>
          <w:b/>
          <w:sz w:val="21"/>
          <w:szCs w:val="21"/>
        </w:rPr>
        <w:t xml:space="preserve">Descartada: banda ancha satelital de órbita baja para toda la flota.</w:t>
      </w:r>
      <w:r>
        <w:rPr>
          <w:sz w:val="21"/>
          <w:szCs w:val="21"/>
        </w:rPr>
        <w:t xml:space="preserve"> La carga útil es de kilobytes por minuto, no megabits; el servicio cobra ancho de banda que no se usa, consume energía del vehículo y monta una antena sobre la cabina, lo que roza la restricción 6. Se documenta en el ADR (RT-02.04).</w:t>
      </w:r>
    </w:p>
    <w:p>
      <w:pPr>
        <w:shd w:val="clear" w:fill="FDF3F3"/>
        <w:pBdr>
          <w:left w:val="single" w:sz="18" w:space="8" w:color="D98A8A"/>
        </w:pBdr>
        <w:ind w:left="200"/>
        <w:spacing w:before="100" w:after="140"/>
      </w:pPr>
      <w:r>
        <w:rPr>
          <w:sz w:val="21"/>
          <w:szCs w:val="21"/>
        </w:rPr>
        <w:t xml:space="preserve">⚠ </w:t>
      </w:r>
      <w:r>
        <w:rPr>
          <w:b/>
          <w:sz w:val="21"/>
          <w:szCs w:val="21"/>
        </w:rPr>
        <w:t xml:space="preserve">Incoherencia interna a corregir en `CONTEXTO-CASO10.md` §6.2.</w:t>
      </w:r>
      <w:r>
        <w:rPr>
          <w:sz w:val="21"/>
          <w:szCs w:val="21"/>
        </w:rPr>
        <w:t xml:space="preserve"> Ese archivo dice «Capa 0 — </w:t>
      </w:r>
      <w:r>
        <w:rPr>
          <w:b/>
          <w:sz w:val="21"/>
          <w:szCs w:val="21"/>
        </w:rPr>
        <w:t xml:space="preserve">todas las unidades</w:t>
      </w:r>
      <w:r>
        <w:rPr>
          <w:sz w:val="21"/>
          <w:szCs w:val="21"/>
        </w:rPr>
        <w:t xml:space="preserve">». No puede ser «todas»: los ~192 equipos de terceros no se pueden intervenir (restricción 3, pág. 23/49). El texto correcto es </w:t>
      </w:r>
      <w:r>
        <w:rPr>
          <w:b/>
          <w:sz w:val="21"/>
          <w:szCs w:val="21"/>
        </w:rPr>
        <w:t xml:space="preserve">«todas las unidades intervenidas»</w:t>
      </w:r>
      <w:r>
        <w:rPr>
          <w:sz w:val="21"/>
          <w:szCs w:val="21"/>
        </w:rPr>
        <w:t xml:space="preserve">, y para el resto rige el estándar de homologación de §4.1. Si RT-03.10 se lee como exigible sobre las 374, es incumplible por diseño en el 51 % de la flota. → </w:t>
      </w:r>
      <w:r>
        <w:rPr>
          <w:b/>
          <w:sz w:val="21"/>
          <w:szCs w:val="21"/>
        </w:rPr>
        <w:t xml:space="preserve">consulta</w:t>
      </w:r>
      <w:r>
        <w:rPr>
          <w:sz w:val="21"/>
          <w:szCs w:val="21"/>
        </w:rPr>
        <w:t xml:space="preserve">.</w:t>
      </w:r>
    </w:p>
    <w:p>
      <w:pPr>
        <w:spacing w:before="0" w:after="140" w:line="264" w:lineRule="auto"/>
      </w:pPr>
      <w:r>
        <w:rPr>
          <w:b/>
        </w:rPr>
        <w:t xml:space="preserve">Corolario para el criterio 28:</w:t>
      </w:r>
      <w:r>
        <w:t xml:space="preserve"> la alerta de jornada </w:t>
      </w:r>
      <w:r>
        <w:rPr>
          <w:b/>
        </w:rPr>
        <w:t xml:space="preserve">se calcula en el dispositivo</w:t>
      </w:r>
      <w:r>
        <w:t xml:space="preserve"> y no necesita conectividad. Lo que necesita es saber dónde están los lugares seguros de detención, dato que hoy nadie tiene. Ese catálogo georreferenciado es un entregable de Etapa 1 y es lo que convierte el criterio 28 en algo verificable.</w:t>
      </w:r>
    </w:p>
    <w:p>
      <w:pPr>
        <w:pBdr>
          <w:bottom w:val="single" w:sz="6" w:space="1" w:color="C8D2DE"/>
        </w:pBdr>
        <w:spacing w:before="160" w:after="160"/>
      </w:pPr>
    </w:p>
    <w:p>
      <w:pPr>
        <w:pStyle w:val="Heading2"/>
        <w:keepNext/>
        <w:spacing w:before="260" w:after="100"/>
      </w:pPr>
      <w:r>
        <w:t xml:space="preserve">5.5 Datos móviles: respuesta a la decisión 11</w:t>
      </w:r>
    </w:p>
    <w:p>
      <w:pPr>
        <w:spacing w:before="0" w:after="140" w:line="264" w:lineRule="auto"/>
      </w:pPr>
      <w:r>
        <w:t xml:space="preserve">La decisión 11 (pág. 35/49) dice que la frecuencia de muestreo «determina el costo mensual de datos móviles de toda la flota, que es recurrente en una empresa con 9 % de margen».</w:t>
      </w:r>
    </w:p>
    <w:p>
      <w:pPr>
        <w:spacing w:before="0" w:after="140" w:line="264" w:lineRule="auto"/>
      </w:pPr>
      <w:r>
        <w:rPr>
          <w:b/>
        </w:rPr>
        <w:t xml:space="preserve">Base mensual por camión:</w:t>
      </w:r>
      <w:r>
        <w:t xml:space="preserve"> 9.135 km/mes ÷ 55 km/h ≈ </w:t>
      </w:r>
      <w:r>
        <w:rPr>
          <w:b/>
        </w:rPr>
        <w:t xml:space="preserve">166 h de marcha</w:t>
      </w:r>
      <w:r>
        <w:t xml:space="preserve">, 564 h detenido. 21,4 viajes/mes. 28,5 DET/mes (128.000 DET/año ÷ 374 ÷ 12).</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Componente</w:t>
            </w:r>
          </w:p>
        </w:tc>
        <w:tc>
          <w:tcPr>
            <w:tcW w:w="2337" w:type="dxa"/>
            <w:shd w:val="clear" w:fill="EDF2F8"/>
            <w:vAlign w:val="top"/>
          </w:tcPr>
          <w:p>
            <w:pPr>
              <w:spacing w:before="40" w:after="40"/>
              <w:rPr>
                <w:sz w:val="18"/>
              </w:rPr>
            </w:pPr>
            <w:r>
              <w:rPr>
                <w:b/>
                <w:sz w:val="18"/>
                <w:szCs w:val="18"/>
              </w:rPr>
              <w:t xml:space="preserve">A: 10 s</w:t>
            </w:r>
          </w:p>
        </w:tc>
        <w:tc>
          <w:tcPr>
            <w:tcW w:w="2337" w:type="dxa"/>
            <w:shd w:val="clear" w:fill="EDF2F8"/>
            <w:vAlign w:val="top"/>
          </w:tcPr>
          <w:p>
            <w:pPr>
              <w:spacing w:before="40" w:after="40"/>
              <w:rPr>
                <w:sz w:val="18"/>
              </w:rPr>
            </w:pPr>
            <w:r>
              <w:rPr>
                <w:b/>
                <w:sz w:val="18"/>
                <w:szCs w:val="18"/>
              </w:rPr>
              <w:t xml:space="preserve">B: 30 s + 5 min detenido</w:t>
            </w:r>
          </w:p>
        </w:tc>
        <w:tc>
          <w:tcPr>
            <w:tcW w:w="2337" w:type="dxa"/>
            <w:shd w:val="clear" w:fill="EDF2F8"/>
            <w:vAlign w:val="top"/>
          </w:tcPr>
          <w:p>
            <w:pPr>
              <w:spacing w:before="40" w:after="40"/>
              <w:rPr>
                <w:sz w:val="18"/>
              </w:rPr>
            </w:pPr>
            <w:r>
              <w:rPr>
                <w:b/>
                <w:sz w:val="18"/>
                <w:szCs w:val="18"/>
              </w:rPr>
              <w:t xml:space="preserve">C: 60 s</w:t>
            </w:r>
          </w:p>
        </w:tc>
      </w:tr>
      <w:tr>
        <w:trPr>
          <w:cantSplit/>
        </w:trPr>
        <w:tc>
          <w:tcPr>
            <w:tcW w:w="2337" w:type="dxa"/>
            <w:vAlign w:val="top"/>
          </w:tcPr>
          <w:p>
            <w:pPr>
              <w:spacing w:before="40" w:after="40"/>
              <w:rPr>
                <w:sz w:val="18"/>
              </w:rPr>
            </w:pPr>
            <w:r>
              <w:rPr>
                <w:sz w:val="18"/>
                <w:szCs w:val="18"/>
              </w:rPr>
              <w:t xml:space="preserve">Posición</w:t>
            </w:r>
          </w:p>
        </w:tc>
        <w:tc>
          <w:tcPr>
            <w:tcW w:w="2337" w:type="dxa"/>
            <w:vAlign w:val="top"/>
          </w:tcPr>
          <w:p>
            <w:pPr>
              <w:spacing w:before="40" w:after="40"/>
              <w:rPr>
                <w:sz w:val="18"/>
              </w:rPr>
            </w:pPr>
            <w:r>
              <w:rPr>
                <w:sz w:val="18"/>
                <w:szCs w:val="18"/>
              </w:rPr>
              <w:t xml:space="preserve">4,26 MB</w:t>
            </w:r>
          </w:p>
        </w:tc>
        <w:tc>
          <w:tcPr>
            <w:tcW w:w="2337" w:type="dxa"/>
            <w:vAlign w:val="top"/>
          </w:tcPr>
          <w:p>
            <w:pPr>
              <w:spacing w:before="40" w:after="40"/>
              <w:rPr>
                <w:sz w:val="18"/>
              </w:rPr>
            </w:pPr>
            <w:r>
              <w:rPr>
                <w:sz w:val="18"/>
                <w:szCs w:val="18"/>
              </w:rPr>
              <w:t xml:space="preserve">1,71 MB</w:t>
            </w:r>
          </w:p>
        </w:tc>
        <w:tc>
          <w:tcPr>
            <w:tcW w:w="2337" w:type="dxa"/>
            <w:vAlign w:val="top"/>
          </w:tcPr>
          <w:p>
            <w:pPr>
              <w:spacing w:before="40" w:after="40"/>
              <w:rPr>
                <w:sz w:val="18"/>
              </w:rPr>
            </w:pPr>
            <w:r>
              <w:rPr>
                <w:sz w:val="18"/>
                <w:szCs w:val="18"/>
              </w:rPr>
              <w:t xml:space="preserve">1,07 MB</w:t>
            </w:r>
          </w:p>
        </w:tc>
      </w:tr>
      <w:tr>
        <w:trPr>
          <w:cantSplit/>
        </w:trPr>
        <w:tc>
          <w:tcPr>
            <w:tcW w:w="2337" w:type="dxa"/>
            <w:vAlign w:val="top"/>
          </w:tcPr>
          <w:p>
            <w:pPr>
              <w:spacing w:before="40" w:after="40"/>
              <w:rPr>
                <w:sz w:val="18"/>
              </w:rPr>
            </w:pPr>
            <w:r>
              <w:rPr>
                <w:sz w:val="18"/>
                <w:szCs w:val="18"/>
              </w:rPr>
              <w:t xml:space="preserve">Telemetría FMS 1/min en marcha</w:t>
            </w:r>
          </w:p>
        </w:tc>
        <w:tc>
          <w:tcPr>
            <w:tcW w:w="2337" w:type="dxa"/>
            <w:vAlign w:val="top"/>
          </w:tcPr>
          <w:p>
            <w:pPr>
              <w:spacing w:before="40" w:after="40"/>
              <w:rPr>
                <w:sz w:val="18"/>
              </w:rPr>
            </w:pPr>
            <w:r>
              <w:rPr>
                <w:sz w:val="18"/>
                <w:szCs w:val="18"/>
              </w:rPr>
              <w:t xml:space="preserve">1,59 MB</w:t>
            </w:r>
          </w:p>
        </w:tc>
        <w:tc>
          <w:tcPr>
            <w:tcW w:w="2337" w:type="dxa"/>
            <w:vAlign w:val="top"/>
          </w:tcPr>
          <w:p>
            <w:pPr>
              <w:spacing w:before="40" w:after="40"/>
              <w:rPr>
                <w:sz w:val="18"/>
              </w:rPr>
            </w:pPr>
            <w:r>
              <w:rPr>
                <w:sz w:val="18"/>
                <w:szCs w:val="18"/>
              </w:rPr>
              <w:t xml:space="preserve">1,59 MB</w:t>
            </w:r>
          </w:p>
        </w:tc>
        <w:tc>
          <w:tcPr>
            <w:tcW w:w="2337" w:type="dxa"/>
            <w:vAlign w:val="top"/>
          </w:tcPr>
          <w:p>
            <w:pPr>
              <w:spacing w:before="40" w:after="40"/>
              <w:rPr>
                <w:sz w:val="18"/>
              </w:rPr>
            </w:pPr>
            <w:r>
              <w:rPr>
                <w:sz w:val="18"/>
                <w:szCs w:val="18"/>
              </w:rPr>
              <w:t xml:space="preserve">1,59 MB</w:t>
            </w:r>
          </w:p>
        </w:tc>
      </w:tr>
      <w:tr>
        <w:trPr>
          <w:cantSplit/>
        </w:trPr>
        <w:tc>
          <w:tcPr>
            <w:tcW w:w="2337" w:type="dxa"/>
            <w:vAlign w:val="top"/>
          </w:tcPr>
          <w:p>
            <w:pPr>
              <w:spacing w:before="40" w:after="40"/>
              <w:rPr>
                <w:sz w:val="18"/>
              </w:rPr>
            </w:pPr>
            <w:r>
              <w:rPr>
                <w:sz w:val="18"/>
                <w:szCs w:val="18"/>
              </w:rPr>
              <w:t xml:space="preserve">Eventos discretos</w:t>
            </w:r>
          </w:p>
        </w:tc>
        <w:tc>
          <w:tcPr>
            <w:tcW w:w="2337" w:type="dxa"/>
            <w:vAlign w:val="top"/>
          </w:tcPr>
          <w:p>
            <w:pPr>
              <w:spacing w:before="40" w:after="40"/>
              <w:rPr>
                <w:sz w:val="18"/>
              </w:rPr>
            </w:pPr>
            <w:r>
              <w:rPr>
                <w:sz w:val="18"/>
                <w:szCs w:val="18"/>
              </w:rPr>
              <w:t xml:space="preserve">0,24 MB</w:t>
            </w:r>
          </w:p>
        </w:tc>
        <w:tc>
          <w:tcPr>
            <w:tcW w:w="2337" w:type="dxa"/>
            <w:vAlign w:val="top"/>
          </w:tcPr>
          <w:p>
            <w:pPr>
              <w:spacing w:before="40" w:after="40"/>
              <w:rPr>
                <w:sz w:val="18"/>
              </w:rPr>
            </w:pPr>
            <w:r>
              <w:rPr>
                <w:sz w:val="18"/>
                <w:szCs w:val="18"/>
              </w:rPr>
              <w:t xml:space="preserve">0,24 MB</w:t>
            </w:r>
          </w:p>
        </w:tc>
        <w:tc>
          <w:tcPr>
            <w:tcW w:w="2337" w:type="dxa"/>
            <w:vAlign w:val="top"/>
          </w:tcPr>
          <w:p>
            <w:pPr>
              <w:spacing w:before="40" w:after="40"/>
              <w:rPr>
                <w:sz w:val="18"/>
              </w:rPr>
            </w:pPr>
            <w:r>
              <w:rPr>
                <w:sz w:val="18"/>
                <w:szCs w:val="18"/>
              </w:rPr>
              <w:t xml:space="preserve">0,24 MB</w:t>
            </w:r>
          </w:p>
        </w:tc>
      </w:tr>
      <w:tr>
        <w:trPr>
          <w:cantSplit/>
        </w:trPr>
        <w:tc>
          <w:tcPr>
            <w:tcW w:w="2337" w:type="dxa"/>
            <w:vAlign w:val="top"/>
          </w:tcPr>
          <w:p>
            <w:pPr>
              <w:spacing w:before="40" w:after="40"/>
              <w:rPr>
                <w:sz w:val="18"/>
              </w:rPr>
            </w:pPr>
            <w:r>
              <w:rPr>
                <w:sz w:val="18"/>
                <w:szCs w:val="18"/>
              </w:rPr>
              <w:t xml:space="preserve">Documentos del viaje</w:t>
            </w:r>
          </w:p>
        </w:tc>
        <w:tc>
          <w:tcPr>
            <w:tcW w:w="2337" w:type="dxa"/>
            <w:vAlign w:val="top"/>
          </w:tcPr>
          <w:p>
            <w:pPr>
              <w:spacing w:before="40" w:after="40"/>
              <w:rPr>
                <w:sz w:val="18"/>
              </w:rPr>
            </w:pPr>
            <w:r>
              <w:rPr>
                <w:sz w:val="18"/>
                <w:szCs w:val="18"/>
              </w:rPr>
              <w:t xml:space="preserve">1,80 MB</w:t>
            </w:r>
          </w:p>
        </w:tc>
        <w:tc>
          <w:tcPr>
            <w:tcW w:w="2337" w:type="dxa"/>
            <w:vAlign w:val="top"/>
          </w:tcPr>
          <w:p>
            <w:pPr>
              <w:spacing w:before="40" w:after="40"/>
              <w:rPr>
                <w:sz w:val="18"/>
              </w:rPr>
            </w:pPr>
            <w:r>
              <w:rPr>
                <w:sz w:val="18"/>
                <w:szCs w:val="18"/>
              </w:rPr>
              <w:t xml:space="preserve">1,80 MB</w:t>
            </w:r>
          </w:p>
        </w:tc>
        <w:tc>
          <w:tcPr>
            <w:tcW w:w="2337" w:type="dxa"/>
            <w:vAlign w:val="top"/>
          </w:tcPr>
          <w:p>
            <w:pPr>
              <w:spacing w:before="40" w:after="40"/>
              <w:rPr>
                <w:sz w:val="18"/>
              </w:rPr>
            </w:pPr>
            <w:r>
              <w:rPr>
                <w:sz w:val="18"/>
                <w:szCs w:val="18"/>
              </w:rPr>
              <w:t xml:space="preserve">1,80 MB</w:t>
            </w:r>
          </w:p>
        </w:tc>
      </w:tr>
      <w:tr>
        <w:trPr>
          <w:cantSplit/>
        </w:trPr>
        <w:tc>
          <w:tcPr>
            <w:tcW w:w="2337" w:type="dxa"/>
            <w:vAlign w:val="top"/>
          </w:tcPr>
          <w:p>
            <w:pPr>
              <w:spacing w:before="40" w:after="40"/>
              <w:rPr>
                <w:sz w:val="18"/>
              </w:rPr>
            </w:pPr>
            <w:r>
              <w:rPr>
                <w:b/>
                <w:sz w:val="18"/>
                <w:szCs w:val="18"/>
              </w:rPr>
              <w:t xml:space="preserve">Carga útil</w:t>
            </w:r>
          </w:p>
        </w:tc>
        <w:tc>
          <w:tcPr>
            <w:tcW w:w="2337" w:type="dxa"/>
            <w:vAlign w:val="top"/>
          </w:tcPr>
          <w:p>
            <w:pPr>
              <w:spacing w:before="40" w:after="40"/>
              <w:rPr>
                <w:sz w:val="18"/>
              </w:rPr>
            </w:pPr>
            <w:r>
              <w:rPr>
                <w:b/>
                <w:sz w:val="18"/>
                <w:szCs w:val="18"/>
              </w:rPr>
              <w:t xml:space="preserve">7,9 MB</w:t>
            </w:r>
          </w:p>
        </w:tc>
        <w:tc>
          <w:tcPr>
            <w:tcW w:w="2337" w:type="dxa"/>
            <w:vAlign w:val="top"/>
          </w:tcPr>
          <w:p>
            <w:pPr>
              <w:spacing w:before="40" w:after="40"/>
              <w:rPr>
                <w:sz w:val="18"/>
              </w:rPr>
            </w:pPr>
            <w:r>
              <w:rPr>
                <w:b/>
                <w:sz w:val="18"/>
                <w:szCs w:val="18"/>
              </w:rPr>
              <w:t xml:space="preserve">5,3 MB</w:t>
            </w:r>
          </w:p>
        </w:tc>
        <w:tc>
          <w:tcPr>
            <w:tcW w:w="2337" w:type="dxa"/>
            <w:vAlign w:val="top"/>
          </w:tcPr>
          <w:p>
            <w:pPr>
              <w:spacing w:before="40" w:after="40"/>
              <w:rPr>
                <w:sz w:val="18"/>
              </w:rPr>
            </w:pPr>
            <w:r>
              <w:rPr>
                <w:b/>
                <w:sz w:val="18"/>
                <w:szCs w:val="18"/>
              </w:rPr>
              <w:t xml:space="preserve">4,7 MB</w:t>
            </w:r>
          </w:p>
        </w:tc>
      </w:tr>
      <w:tr>
        <w:trPr>
          <w:cantSplit/>
        </w:trPr>
        <w:tc>
          <w:tcPr>
            <w:tcW w:w="2337" w:type="dxa"/>
            <w:vAlign w:val="top"/>
          </w:tcPr>
          <w:p>
            <w:pPr>
              <w:spacing w:before="40" w:after="40"/>
              <w:rPr>
                <w:sz w:val="18"/>
              </w:rPr>
            </w:pPr>
            <w:r>
              <w:rPr>
                <w:sz w:val="18"/>
                <w:szCs w:val="18"/>
              </w:rPr>
              <w:t xml:space="preserve">Con overhead ×2,5–3 (TCP/TLS, framing, reintentos)</w:t>
            </w:r>
          </w:p>
        </w:tc>
        <w:tc>
          <w:tcPr>
            <w:tcW w:w="2337" w:type="dxa"/>
            <w:vAlign w:val="top"/>
          </w:tcPr>
          <w:p>
            <w:pPr>
              <w:spacing w:before="40" w:after="40"/>
              <w:rPr>
                <w:sz w:val="18"/>
              </w:rPr>
            </w:pPr>
            <w:r>
              <w:rPr>
                <w:b/>
                <w:sz w:val="18"/>
                <w:szCs w:val="18"/>
              </w:rPr>
              <w:t xml:space="preserve">20–24 MB</w:t>
            </w:r>
          </w:p>
        </w:tc>
        <w:tc>
          <w:tcPr>
            <w:tcW w:w="2337" w:type="dxa"/>
            <w:vAlign w:val="top"/>
          </w:tcPr>
          <w:p>
            <w:pPr>
              <w:spacing w:before="40" w:after="40"/>
              <w:rPr>
                <w:sz w:val="18"/>
              </w:rPr>
            </w:pPr>
            <w:r>
              <w:rPr>
                <w:b/>
                <w:sz w:val="18"/>
                <w:szCs w:val="18"/>
              </w:rPr>
              <w:t xml:space="preserve">13–16 MB</w:t>
            </w:r>
          </w:p>
        </w:tc>
        <w:tc>
          <w:tcPr>
            <w:tcW w:w="2337" w:type="dxa"/>
            <w:vAlign w:val="top"/>
          </w:tcPr>
          <w:p>
            <w:pPr>
              <w:spacing w:before="40" w:after="40"/>
              <w:rPr>
                <w:sz w:val="18"/>
              </w:rPr>
            </w:pPr>
            <w:r>
              <w:rPr>
                <w:b/>
                <w:sz w:val="18"/>
                <w:szCs w:val="18"/>
              </w:rPr>
              <w:t xml:space="preserve">12–14 MB</w:t>
            </w:r>
          </w:p>
        </w:tc>
      </w:tr>
      <w:tr>
        <w:trPr>
          <w:cantSplit/>
        </w:trPr>
        <w:tc>
          <w:tcPr>
            <w:tcW w:w="2337" w:type="dxa"/>
            <w:vAlign w:val="top"/>
          </w:tcPr>
          <w:p>
            <w:pPr>
              <w:spacing w:before="40" w:after="40"/>
              <w:rPr>
                <w:sz w:val="18"/>
              </w:rPr>
            </w:pPr>
            <w:r>
              <w:rPr>
                <w:sz w:val="18"/>
                <w:szCs w:val="18"/>
              </w:rPr>
              <w:t xml:space="preserve">Si se transmite evidencia fotográfica (≈4 fotos/viaje)</w:t>
            </w:r>
          </w:p>
        </w:tc>
        <w:tc>
          <w:tcPr>
            <w:tcW w:w="2337" w:type="dxa"/>
            <w:vAlign w:val="top"/>
          </w:tcPr>
          <w:p>
            <w:pPr>
              <w:spacing w:before="40" w:after="40"/>
              <w:rPr>
                <w:sz w:val="18"/>
              </w:rPr>
            </w:pPr>
            <w:r>
              <w:rPr>
                <w:sz w:val="18"/>
                <w:szCs w:val="18"/>
              </w:rPr>
              <w:t xml:space="preserve">+25 MB</w:t>
            </w:r>
          </w:p>
        </w:tc>
        <w:tc>
          <w:tcPr>
            <w:tcW w:w="2337" w:type="dxa"/>
            <w:vAlign w:val="top"/>
          </w:tcPr>
          <w:p>
            <w:pPr>
              <w:spacing w:before="40" w:after="40"/>
              <w:rPr>
                <w:sz w:val="18"/>
              </w:rPr>
            </w:pPr>
            <w:r>
              <w:rPr>
                <w:sz w:val="18"/>
                <w:szCs w:val="18"/>
              </w:rPr>
              <w:t xml:space="preserve">+25 MB</w:t>
            </w:r>
          </w:p>
        </w:tc>
        <w:tc>
          <w:tcPr>
            <w:tcW w:w="2337" w:type="dxa"/>
            <w:vAlign w:val="top"/>
          </w:tcPr>
          <w:p>
            <w:pPr>
              <w:spacing w:before="40" w:after="40"/>
              <w:rPr>
                <w:sz w:val="18"/>
              </w:rPr>
            </w:pPr>
            <w:r>
              <w:rPr>
                <w:sz w:val="18"/>
                <w:szCs w:val="18"/>
              </w:rPr>
              <w:t xml:space="preserve">+25 MB</w:t>
            </w:r>
          </w:p>
        </w:tc>
      </w:tr>
    </w:tbl>
    <w:p>
      <w:pPr>
        <w:spacing w:before="0" w:after="100"/>
      </w:pPr>
    </w:p>
    <w:p>
      <w:pPr>
        <w:spacing w:before="0" w:after="140" w:line="264" w:lineRule="auto"/>
      </w:pPr>
      <w:r>
        <w:rPr>
          <w:b/>
        </w:rPr>
        <w:t xml:space="preserve">Flota completa, escenario B sin fotografía:</w:t>
      </w:r>
      <w:r>
        <w:t xml:space="preserve"> 374 × ~15 MB ≈ </w:t>
      </w:r>
      <w:r>
        <w:rPr>
          <w:b/>
        </w:rPr>
        <w:t xml:space="preserve">5,6 GB/mes</w:t>
      </w:r>
      <w:r>
        <w:t xml:space="preserve">.</w:t>
      </w:r>
    </w:p>
    <w:p>
      <w:pPr>
        <w:pStyle w:val="Heading3"/>
        <w:keepNext/>
        <w:spacing w:before="200" w:after="80"/>
      </w:pPr>
      <w:r>
        <w:t xml:space="preserve">El hallazgo que hay que escribir</w:t>
      </w:r>
    </w:p>
    <w:p>
      <w:pPr>
        <w:spacing w:before="0" w:after="140" w:line="264" w:lineRule="auto"/>
      </w:pPr>
      <w:r>
        <w:rPr>
          <w:b/>
        </w:rPr>
        <w:t xml:space="preserve">El costo de datos móviles de esta flota es marginal; lo que pesa es el cargo fijo por SIM y por suscripción de plataforma por vehículo, que se factura por unidad y no por byte.</w:t>
      </w:r>
      <w:r>
        <w:t xml:space="preserve"> 5,6 GB/mes para 374 vehículos es un volumen trivial para cualquier plan M2M. La palanca económica de la decisión 11 no está en la frecuencia de muestreo sino en el modelo de tarificación del proveedor y en cuántas unidades se suscriben.</w:t>
      </w:r>
    </w:p>
    <w:p>
      <w:pPr>
        <w:spacing w:before="0" w:after="140" w:line="264" w:lineRule="auto"/>
      </w:pPr>
      <w:r>
        <w:t xml:space="preserve">Eso reordena la recomendación:</w:t>
      </w:r>
    </w:p>
    <w:p>
      <w:pPr>
        <w:ind w:left="340"/>
        <w:spacing w:before="20" w:after="60"/>
      </w:pPr>
      <w:r>
        <w:t xml:space="preserve">1.  </w:t>
      </w:r>
      <w:r>
        <w:rPr>
          <w:b/>
        </w:rPr>
        <w:t xml:space="preserve">Muestreo adaptativo, no fijo.</w:t>
      </w:r>
      <w:r>
        <w:t xml:space="preserve"> 10 s en maniobra, geocerca y evento; 30 s en ruta estable;</w:t>
      </w:r>
    </w:p>
    <w:p>
      <w:pPr>
        <w:spacing w:before="0" w:after="140" w:line="264" w:lineRule="auto"/>
      </w:pPr>
      <w:r>
        <w:t xml:space="preserve">5 min detenido. Da resolución donde importa al costo del escenario C.</w:t>
      </w:r>
    </w:p>
    <w:p>
      <w:pPr>
        <w:ind w:left="340"/>
        <w:spacing w:before="20" w:after="60"/>
      </w:pPr>
      <w:r>
        <w:t xml:space="preserve">2.  </w:t>
      </w:r>
      <w:r>
        <w:rPr>
          <w:b/>
        </w:rPr>
        <w:t xml:space="preserve">La evidencia fotográfica multiplica por tres el consumo.</w:t>
      </w:r>
      <w:r>
        <w:t xml:space="preserve"> Debe transmitirse diferida,</w:t>
      </w:r>
    </w:p>
    <w:p>
      <w:pPr>
        <w:spacing w:before="0" w:after="140" w:line="264" w:lineRule="auto"/>
      </w:pPr>
      <w:r>
        <w:t xml:space="preserve">comprimida y solo al llegar a cobertura o a terminal. Decisión conjunta con D3.</w:t>
      </w:r>
    </w:p>
    <w:p>
      <w:pPr>
        <w:ind w:left="340"/>
        <w:spacing w:before="20" w:after="60"/>
      </w:pPr>
      <w:r>
        <w:t xml:space="preserve">3.  </w:t>
      </w:r>
      <w:r>
        <w:rPr>
          <w:b/>
        </w:rPr>
        <w:t xml:space="preserve">Negociar por parque, no por unidad</w:t>
      </w:r>
      <w:r>
        <w:t xml:space="preserve">, y declarar el supuesto de tarificación.</w:t>
      </w:r>
    </w:p>
    <w:p>
      <w:pPr>
        <w:pStyle w:val="Heading3"/>
        <w:keepNext/>
        <w:spacing w:before="200" w:after="80"/>
      </w:pPr>
      <w:r>
        <w:t xml:space="preserve">Volumetría satelital</w:t>
      </w:r>
    </w:p>
    <w:p>
      <w:pPr>
        <w:spacing w:before="0" w:after="140" w:line="264" w:lineRule="auto"/>
      </w:pPr>
      <w:r>
        <w:t xml:space="preserve">Un mensaje SBD saliente transporta hasta </w:t>
      </w:r>
      <w:r>
        <w:rPr>
          <w:b/>
        </w:rPr>
        <w:t xml:space="preserve">340 B</w:t>
      </w:r>
      <w:r>
        <w:t xml:space="preserve"> en los transceptores 9601/9602, que son la familia del Iridium Edge </w:t>
      </w:r>
      <w:r>
        <w:rPr>
          <w:b/>
        </w:rPr>
        <w:t xml:space="preserve">[F]</w:t>
      </w:r>
      <w:r>
        <w:t xml:space="preserve"> (en un 9522A/B el máximo sube a 1.960 B, así que el dato es del equipo, no del servicio). Un reporte de posición comprimido ocupa 30–50 B </w:t>
      </w:r>
      <w:r>
        <w:rPr>
          <w:b/>
        </w:rPr>
        <w:t xml:space="preserve">[S]</w:t>
      </w:r>
      <w:r>
        <w:t xml:space="preserve">. A una posición por minuto, un camión que pase 40 h/mes en sombra genera ≈ 2.400 mensajes/mes (≈120 KB). </w:t>
      </w:r>
      <w:r>
        <w:rPr>
          <w:b/>
        </w:rPr>
        <w:t xml:space="preserve">Trivial en bytes, caro en mensajes</w:t>
      </w:r>
      <w:r>
        <w:t xml:space="preserve">, porque SBD se tarifica por mensaje y por paquete mensual.</w:t>
      </w:r>
    </w:p>
    <w:p>
      <w:pPr>
        <w:spacing w:before="0" w:after="140" w:line="264" w:lineRule="auto"/>
      </w:pPr>
      <w:r>
        <w:t xml:space="preserve">→ </w:t>
      </w:r>
      <w:r>
        <w:rPr>
          <w:b/>
        </w:rPr>
        <w:t xml:space="preserve">Palanca:</w:t>
      </w:r>
      <w:r>
        <w:t xml:space="preserve"> una posición cada 5 min en sombra (≈480 mensajes/mes, reducción de 5×) más eventos críticos inmediatos: pánico, entrada y salida de geocerca, cruce de frontera, apertura no autorizada. La trazabilidad fina queda en el buffer local y se vuelca por celular.</w:t>
      </w:r>
    </w:p>
    <w:p>
      <w:pPr>
        <w:pBdr>
          <w:bottom w:val="single" w:sz="6" w:space="1" w:color="C8D2DE"/>
        </w:pBdr>
        <w:spacing w:before="160" w:after="160"/>
      </w:pPr>
    </w:p>
    <w:p>
      <w:pPr>
        <w:pStyle w:val="Heading2"/>
        <w:keepNext/>
        <w:spacing w:before="260" w:after="100"/>
      </w:pPr>
      <w:r>
        <w:t xml:space="preserve">5.6 Tacógrafo digital — tu propuesta, con las correcciones</w:t>
      </w:r>
    </w:p>
    <w:p>
      <w:pPr>
        <w:spacing w:before="0" w:after="140" w:line="264" w:lineRule="auto"/>
      </w:pPr>
      <w:r>
        <w:rPr>
          <w:b/>
        </w:rPr>
        <w:t xml:space="preserve">Tu idea:</w:t>
      </w:r>
      <w:r>
        <w:t xml:space="preserve"> acordar con los dueños de camión que, si no tienen tacógrafo digital, se compre uno cumpliendo toda la regulación.</w:t>
      </w:r>
    </w:p>
    <w:p>
      <w:pPr>
        <w:spacing w:before="0" w:after="140" w:line="264" w:lineRule="auto"/>
      </w:pPr>
      <w:r>
        <w:rPr>
          <w:b/>
        </w:rPr>
        <w:t xml:space="preserve">Es una buena idea y tiene tres problemas que hay que resolver antes de escribirla.</w:t>
      </w:r>
    </w:p>
    <w:p>
      <w:pPr>
        <w:pStyle w:val="Heading3"/>
        <w:keepNext/>
        <w:spacing w:before="200" w:after="80"/>
      </w:pPr>
      <w:r>
        <w:t xml:space="preserve">Problema 1 — el supuesto de partida es falso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Lo que se venía asumiendo</w:t>
            </w:r>
          </w:p>
        </w:tc>
        <w:tc>
          <w:tcPr>
            <w:tcW w:w="4675" w:type="dxa"/>
            <w:shd w:val="clear" w:fill="EDF2F8"/>
            <w:vAlign w:val="top"/>
          </w:tcPr>
          <w:p>
            <w:pPr>
              <w:spacing w:before="40" w:after="40"/>
              <w:rPr>
                <w:sz w:val="18"/>
              </w:rPr>
            </w:pPr>
            <w:r>
              <w:rPr>
                <w:b/>
                <w:sz w:val="18"/>
                <w:szCs w:val="18"/>
              </w:rPr>
              <w:t xml:space="preserve">Lo que dice el documento</w:t>
            </w:r>
          </w:p>
        </w:tc>
      </w:tr>
      <w:tr>
        <w:trPr>
          <w:cantSplit/>
        </w:trPr>
        <w:tc>
          <w:tcPr>
            <w:tcW w:w="4675" w:type="dxa"/>
            <w:vAlign w:val="top"/>
          </w:tcPr>
          <w:p>
            <w:pPr>
              <w:spacing w:before="40" w:after="40"/>
              <w:rPr>
                <w:sz w:val="18"/>
              </w:rPr>
            </w:pPr>
            <w:r>
              <w:rPr>
                <w:sz w:val="18"/>
                <w:szCs w:val="18"/>
              </w:rPr>
              <w:t xml:space="preserve">«Todos los camiones tienen tacógrafo»</w:t>
            </w:r>
          </w:p>
        </w:tc>
        <w:tc>
          <w:tcPr>
            <w:tcW w:w="4675" w:type="dxa"/>
            <w:vAlign w:val="top"/>
          </w:tcPr>
          <w:p>
            <w:pPr>
              <w:spacing w:before="40" w:after="40"/>
              <w:rPr>
                <w:sz w:val="18"/>
              </w:rPr>
            </w:pPr>
            <w:r>
              <w:rPr>
                <w:sz w:val="18"/>
                <w:szCs w:val="18"/>
              </w:rPr>
              <w:t xml:space="preserve">Pág. 9/49, en el párrafo de los </w:t>
            </w:r>
            <w:r>
              <w:rPr>
                <w:b/>
                <w:sz w:val="18"/>
                <w:szCs w:val="18"/>
              </w:rPr>
              <w:t xml:space="preserve">196 conductores propios</w:t>
            </w:r>
            <w:r>
              <w:rPr>
                <w:sz w:val="18"/>
                <w:szCs w:val="18"/>
              </w:rPr>
              <w:t xml:space="preserve">: «Los camiones </w:t>
            </w:r>
            <w:r>
              <w:rPr>
                <w:b/>
                <w:sz w:val="18"/>
                <w:szCs w:val="18"/>
              </w:rPr>
              <w:t xml:space="preserve">nuevos</w:t>
            </w:r>
            <w:r>
              <w:rPr>
                <w:sz w:val="18"/>
                <w:szCs w:val="18"/>
              </w:rPr>
              <w:t xml:space="preserve"> tienen tacógrafo digital». De los 226 de terceros el caso no afirma nada</w:t>
            </w:r>
          </w:p>
        </w:tc>
      </w:tr>
      <w:tr>
        <w:trPr>
          <w:cantSplit/>
        </w:trPr>
        <w:tc>
          <w:tcPr>
            <w:tcW w:w="4675" w:type="dxa"/>
            <w:vAlign w:val="top"/>
          </w:tcPr>
          <w:p>
            <w:pPr>
              <w:spacing w:before="40" w:after="40"/>
              <w:rPr>
                <w:sz w:val="18"/>
              </w:rPr>
            </w:pPr>
            <w:r>
              <w:rPr>
                <w:sz w:val="18"/>
                <w:szCs w:val="18"/>
              </w:rPr>
              <w:t xml:space="preserve">«Están todos bien»</w:t>
            </w:r>
          </w:p>
        </w:tc>
        <w:tc>
          <w:tcPr>
            <w:tcW w:w="4675" w:type="dxa"/>
            <w:vAlign w:val="top"/>
          </w:tcPr>
          <w:p>
            <w:pPr>
              <w:spacing w:before="40" w:after="40"/>
              <w:rPr>
                <w:sz w:val="18"/>
              </w:rPr>
            </w:pPr>
            <w:r>
              <w:rPr>
                <w:sz w:val="18"/>
                <w:szCs w:val="18"/>
              </w:rPr>
              <w:t xml:space="preserve">Tabla 7.1, pág. 14/49: «Tacógrafos digitales cuya información se descarga: </w:t>
            </w:r>
            <w:r>
              <w:rPr>
                <w:b/>
                <w:sz w:val="18"/>
                <w:szCs w:val="18"/>
              </w:rPr>
              <w:t xml:space="preserve">0</w:t>
            </w:r>
            <w:r>
              <w:rPr>
                <w:sz w:val="18"/>
                <w:szCs w:val="18"/>
              </w:rPr>
              <w:t xml:space="preserve">»</w:t>
            </w:r>
          </w:p>
        </w:tc>
      </w:tr>
    </w:tbl>
    <w:p>
      <w:pPr>
        <w:spacing w:before="0" w:after="100"/>
      </w:pPr>
    </w:p>
    <w:p>
      <w:pPr>
        <w:spacing w:before="0" w:after="140" w:line="264" w:lineRule="auto"/>
      </w:pPr>
      <w:r>
        <w:t xml:space="preserve">El Cap. A del Caso lo remata: «Tacógrafo digital — Responsable: </w:t>
      </w:r>
      <w:r>
        <w:rPr>
          <w:b/>
        </w:rPr>
        <w:t xml:space="preserve">Nadie</w:t>
      </w:r>
      <w:r>
        <w:t xml:space="preserve"> — El equipo lo genera; </w:t>
      </w:r>
      <w:r>
        <w:rPr>
          <w:b/>
        </w:rPr>
        <w:t xml:space="preserve">nunca se descarga</w:t>
      </w:r>
      <w:r>
        <w:t xml:space="preserve">».</w:t>
      </w:r>
    </w:p>
    <w:p>
      <w:pPr>
        <w:pStyle w:val="Heading3"/>
        <w:keepNext/>
        <w:spacing w:before="200" w:after="80"/>
      </w:pPr>
      <w:r>
        <w:t xml:space="preserve">Problema 2 — comprar un tacógrafo para un camión ajeno choca con las mismas restricciones</w:t>
      </w:r>
    </w:p>
    <w:p>
      <w:pPr>
        <w:spacing w:before="0" w:after="140" w:line="264" w:lineRule="auto"/>
      </w:pPr>
      <w:r>
        <w:t xml:space="preserve">Un tacógrafo es un dispositivo del vehículo. Le aplican:</w:t>
      </w:r>
    </w:p>
    <w:p>
      <w:pPr>
        <w:ind w:left="340"/>
        <w:spacing w:before="20" w:after="60"/>
      </w:pPr>
      <w:r>
        <w:t xml:space="preserve">•  </w:t>
      </w:r>
      <w:r>
        <w:rPr>
          <w:b/>
        </w:rPr>
        <w:t xml:space="preserve">Restricción 3</w:t>
      </w:r>
      <w:r>
        <w:t xml:space="preserve"> (pág. 23/49): los dispositivos instalados en camiones de terceros pertenecen</w:t>
      </w:r>
    </w:p>
    <w:p>
      <w:pPr>
        <w:spacing w:before="0" w:after="140" w:line="264" w:lineRule="auto"/>
      </w:pPr>
      <w:r>
        <w:t xml:space="preserve">a sus dueños; no pueden intervenirse, reconfigurarse ni reemplazarse sin acuerdo expreso.</w:t>
      </w:r>
    </w:p>
    <w:p>
      <w:pPr>
        <w:ind w:left="340"/>
        <w:spacing w:before="20" w:after="60"/>
      </w:pPr>
      <w:r>
        <w:t xml:space="preserve">•  </w:t>
      </w:r>
      <w:r>
        <w:rPr>
          <w:b/>
        </w:rPr>
        <w:t xml:space="preserve">Restricción 6</w:t>
      </w:r>
      <w:r>
        <w:t xml:space="preserve"> (pág. 23/49): ningún equipamiento a bordo puede afectar la garantía del</w:t>
      </w:r>
    </w:p>
    <w:p>
      <w:pPr>
        <w:spacing w:before="0" w:after="140" w:line="264" w:lineRule="auto"/>
      </w:pPr>
      <w:r>
        <w:t xml:space="preserve">vehículo ni interferir con sus sistemas de seguridad.</w:t>
      </w:r>
    </w:p>
    <w:p>
      <w:pPr>
        <w:ind w:left="340"/>
        <w:spacing w:before="20" w:after="60"/>
      </w:pPr>
      <w:r>
        <w:t xml:space="preserve">•  </w:t>
      </w:r>
      <w:r>
        <w:rPr>
          <w:b/>
        </w:rPr>
        <w:t xml:space="preserve">Restricción 5</w:t>
      </w:r>
      <w:r>
        <w:t xml:space="preserve">: solo se instala cuando el camión pasa por un terminal.</w:t>
      </w:r>
    </w:p>
    <w:p>
      <w:pPr>
        <w:spacing w:before="0" w:after="140" w:line="264" w:lineRule="auto"/>
      </w:pPr>
      <w:r>
        <w:t xml:space="preserve">→ </w:t>
      </w:r>
      <w:r>
        <w:rPr>
          <w:b/>
        </w:rPr>
        <w:t xml:space="preserve">No es un programa aparte: es exactamente el mismo problema de adhesión que el dispositivo a bordo, y debe viajar en el mismo plan.</w:t>
      </w:r>
      <w:r>
        <w:t xml:space="preserve"> Es la </w:t>
      </w:r>
      <w:r>
        <w:rPr>
          <w:b/>
        </w:rPr>
        <w:t xml:space="preserve">decisión 5</w:t>
      </w:r>
      <w:r>
        <w:t xml:space="preserve"> (pág. 34/49): de quién es el dispositivo, quién lo paga, quién lo administra y qué pasa con él si el transportista deja de trabajar con la compañía. Presentarlo como dos negociaciones separadas con los mismos 148 dueños es duplicar el punto de fricción. </w:t>
      </w:r>
      <w:r>
        <w:rPr>
          <w:b/>
        </w:rPr>
        <w:t xml:space="preserve">Una sola conversación, un solo contrato, un solo incentivo.</w:t>
      </w:r>
    </w:p>
    <w:p>
      <w:pPr>
        <w:pStyle w:val="Heading3"/>
        <w:keepNext/>
        <w:spacing w:before="200" w:after="80"/>
      </w:pPr>
      <w:r>
        <w:t xml:space="preserve">Problema 3 — el tacógrafo por sí solo no resuelve la jornada</w:t>
      </w:r>
    </w:p>
    <w:p>
      <w:pPr>
        <w:spacing w:before="0" w:after="140" w:line="264" w:lineRule="auto"/>
      </w:pPr>
      <w:r>
        <w:t xml:space="preserve">El tacógrafo chileno </w:t>
      </w:r>
      <w:r>
        <w:rPr>
          <w:b/>
        </w:rPr>
        <w:t xml:space="preserve">registra la conducción del vehículo, no la de la persona</w:t>
      </w:r>
      <w:r>
        <w:t xml:space="preserve">. No es el tacógrafo europeo con tarjeta de conductor. Sin identificación en cabina, el dato no se atribuye a nadie — que es justamente lo que </w:t>
      </w:r>
      <w:r>
        <w:rPr>
          <w:b/>
        </w:rPr>
        <w:t xml:space="preserve">RT-12.11</w:t>
      </w:r>
      <w:r>
        <w:t xml:space="preserve"> (pág. 32/49) obliga a resolver «sin exigir manipulación de un dispositivo con el vehículo en movimiento y sin depender de que el conductor recuerde una credencial».</w:t>
      </w:r>
    </w:p>
    <w:p>
      <w:pPr>
        <w:spacing w:before="0" w:after="140" w:line="264" w:lineRule="auto"/>
      </w:pPr>
      <w:r>
        <w:t xml:space="preserve">→ </w:t>
      </w:r>
      <w:r>
        <w:rPr>
          <w:b/>
        </w:rPr>
        <w:t xml:space="preserve">Tacógrafo + identificación del conductor</w:t>
      </w:r>
      <w:r>
        <w:t xml:space="preserve">, o el gasto no compra acreditación.</w:t>
      </w:r>
    </w:p>
    <w:p>
      <w:pPr>
        <w:pStyle w:val="Heading3"/>
        <w:keepNext/>
        <w:spacing w:before="200" w:after="80"/>
      </w:pPr>
      <w:r>
        <w:t xml:space="preserve">Qué sí hay que especificar</w:t>
      </w:r>
    </w:p>
    <w:p>
      <w:pPr>
        <w:spacing w:before="0" w:after="140" w:line="264" w:lineRule="auto"/>
      </w:pPr>
      <w:r>
        <w:rPr>
          <w:b/>
        </w:rPr>
        <w:t xml:space="preserve">Hardware y mecanismo de descarga (decisión 13, pág. 35/49: quién descarga, con qué frecuencia, dónde se conserva y con qué garantía de integridad):</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Elemento</w:t>
            </w:r>
          </w:p>
        </w:tc>
        <w:tc>
          <w:tcPr>
            <w:tcW w:w="3116" w:type="dxa"/>
            <w:shd w:val="clear" w:fill="EDF2F8"/>
            <w:vAlign w:val="top"/>
          </w:tcPr>
          <w:p>
            <w:pPr>
              <w:spacing w:before="40" w:after="40"/>
              <w:rPr>
                <w:sz w:val="18"/>
              </w:rPr>
            </w:pPr>
            <w:r>
              <w:rPr>
                <w:b/>
                <w:sz w:val="18"/>
                <w:szCs w:val="18"/>
              </w:rPr>
              <w:t xml:space="preserve">Especificación</w:t>
            </w:r>
          </w:p>
        </w:tc>
        <w:tc>
          <w:tcPr>
            <w:tcW w:w="3116" w:type="dxa"/>
            <w:shd w:val="clear" w:fill="EDF2F8"/>
            <w:vAlign w:val="top"/>
          </w:tcPr>
          <w:p>
            <w:pPr>
              <w:spacing w:before="40" w:after="40"/>
              <w:rPr>
                <w:sz w:val="18"/>
              </w:rPr>
            </w:pPr>
            <w:r>
              <w:rPr>
                <w:b/>
                <w:sz w:val="18"/>
                <w:szCs w:val="18"/>
              </w:rPr>
              <w:t xml:space="preserve">Fundamento</w:t>
            </w:r>
          </w:p>
        </w:tc>
      </w:tr>
      <w:tr>
        <w:trPr>
          <w:cantSplit/>
        </w:trPr>
        <w:tc>
          <w:tcPr>
            <w:tcW w:w="3116" w:type="dxa"/>
            <w:vAlign w:val="top"/>
          </w:tcPr>
          <w:p>
            <w:pPr>
              <w:spacing w:before="40" w:after="40"/>
              <w:rPr>
                <w:sz w:val="18"/>
              </w:rPr>
            </w:pPr>
            <w:r>
              <w:rPr>
                <w:sz w:val="18"/>
                <w:szCs w:val="18"/>
              </w:rPr>
              <w:t xml:space="preserve">Descarga</w:t>
            </w:r>
          </w:p>
        </w:tc>
        <w:tc>
          <w:tcPr>
            <w:tcW w:w="3116" w:type="dxa"/>
            <w:vAlign w:val="top"/>
          </w:tcPr>
          <w:p>
            <w:pPr>
              <w:spacing w:before="40" w:after="40"/>
              <w:rPr>
                <w:sz w:val="18"/>
              </w:rPr>
            </w:pPr>
            <w:r>
              <w:rPr>
                <w:b/>
                <w:sz w:val="18"/>
                <w:szCs w:val="18"/>
              </w:rPr>
              <w:t xml:space="preserve">Remota, desde la central</w:t>
            </w:r>
            <w:r>
              <w:rPr>
                <w:sz w:val="18"/>
                <w:szCs w:val="18"/>
              </w:rPr>
              <w:t xml:space="preserve">, sin intervención del conductor</w:t>
            </w:r>
          </w:p>
        </w:tc>
        <w:tc>
          <w:tcPr>
            <w:tcW w:w="3116" w:type="dxa"/>
            <w:vAlign w:val="top"/>
          </w:tcPr>
          <w:p>
            <w:pPr>
              <w:spacing w:before="40" w:after="40"/>
              <w:rPr>
                <w:sz w:val="18"/>
              </w:rPr>
            </w:pPr>
            <w:r>
              <w:rPr>
                <w:sz w:val="18"/>
                <w:szCs w:val="18"/>
              </w:rPr>
              <w:t xml:space="preserve">Decisión 13 · restricción 1</w:t>
            </w:r>
          </w:p>
        </w:tc>
      </w:tr>
      <w:tr>
        <w:trPr>
          <w:cantSplit/>
        </w:trPr>
        <w:tc>
          <w:tcPr>
            <w:tcW w:w="3116" w:type="dxa"/>
            <w:vAlign w:val="top"/>
          </w:tcPr>
          <w:p>
            <w:pPr>
              <w:spacing w:before="40" w:after="40"/>
              <w:rPr>
                <w:sz w:val="18"/>
              </w:rPr>
            </w:pPr>
            <w:r>
              <w:rPr>
                <w:sz w:val="18"/>
                <w:szCs w:val="18"/>
              </w:rPr>
              <w:t xml:space="preserve">Vía</w:t>
            </w:r>
          </w:p>
        </w:tc>
        <w:tc>
          <w:tcPr>
            <w:tcW w:w="3116" w:type="dxa"/>
            <w:vAlign w:val="top"/>
          </w:tcPr>
          <w:p>
            <w:pPr>
              <w:spacing w:before="40" w:after="40"/>
              <w:rPr>
                <w:sz w:val="18"/>
              </w:rPr>
            </w:pPr>
            <w:r>
              <w:rPr>
                <w:sz w:val="18"/>
                <w:szCs w:val="18"/>
              </w:rPr>
              <w:t xml:space="preserve">Unidad telemática con interfaz de tacógrafo; conexión por FMS o directo al conector C (C5 = CAN2H, C7 = CAN2L)</w:t>
            </w:r>
          </w:p>
        </w:tc>
        <w:tc>
          <w:tcPr>
            <w:tcW w:w="3116" w:type="dxa"/>
            <w:vAlign w:val="top"/>
          </w:tcPr>
          <w:p>
            <w:pPr>
              <w:spacing w:before="40" w:after="40"/>
              <w:rPr>
                <w:sz w:val="18"/>
              </w:rPr>
            </w:pPr>
            <w:r>
              <w:rPr>
                <w:sz w:val="18"/>
                <w:szCs w:val="18"/>
              </w:rPr>
              <w:t xml:space="preserve">Verificado en documentación Teltonika</w:t>
            </w:r>
          </w:p>
        </w:tc>
      </w:tr>
      <w:tr>
        <w:trPr>
          <w:cantSplit/>
        </w:trPr>
        <w:tc>
          <w:tcPr>
            <w:tcW w:w="3116" w:type="dxa"/>
            <w:vAlign w:val="top"/>
          </w:tcPr>
          <w:p>
            <w:pPr>
              <w:spacing w:before="40" w:after="40"/>
              <w:rPr>
                <w:sz w:val="18"/>
              </w:rPr>
            </w:pPr>
            <w:r>
              <w:rPr>
                <w:sz w:val="18"/>
                <w:szCs w:val="18"/>
              </w:rPr>
              <w:t xml:space="preserve">Formatos</w:t>
            </w:r>
          </w:p>
        </w:tc>
        <w:tc>
          <w:tcPr>
            <w:tcW w:w="3116" w:type="dxa"/>
            <w:vAlign w:val="top"/>
          </w:tcPr>
          <w:p>
            <w:pPr>
              <w:spacing w:before="40" w:after="40"/>
              <w:rPr>
                <w:sz w:val="18"/>
              </w:rPr>
            </w:pPr>
            <w:r>
              <w:rPr>
                <w:sz w:val="18"/>
                <w:szCs w:val="18"/>
              </w:rPr>
              <w:t xml:space="preserve">DDD, y compatibilidad con TGD y V1B/C1B</w:t>
            </w:r>
          </w:p>
        </w:tc>
        <w:tc>
          <w:tcPr>
            <w:tcW w:w="3116" w:type="dxa"/>
            <w:vAlign w:val="top"/>
          </w:tcPr>
          <w:p>
            <w:pPr>
              <w:spacing w:before="40" w:after="40"/>
              <w:rPr>
                <w:sz w:val="18"/>
              </w:rPr>
            </w:pPr>
            <w:r>
              <w:rPr>
                <w:sz w:val="18"/>
                <w:szCs w:val="18"/>
              </w:rPr>
              <w:t xml:space="preserve">Verificado</w:t>
            </w:r>
          </w:p>
        </w:tc>
      </w:tr>
      <w:tr>
        <w:trPr>
          <w:cantSplit/>
        </w:trPr>
        <w:tc>
          <w:tcPr>
            <w:tcW w:w="3116" w:type="dxa"/>
            <w:vAlign w:val="top"/>
          </w:tcPr>
          <w:p>
            <w:pPr>
              <w:spacing w:before="40" w:after="40"/>
              <w:rPr>
                <w:sz w:val="18"/>
              </w:rPr>
            </w:pPr>
            <w:r>
              <w:rPr>
                <w:sz w:val="18"/>
                <w:szCs w:val="18"/>
              </w:rPr>
              <w:t xml:space="preserve">Tarjeta de empresa</w:t>
            </w:r>
          </w:p>
        </w:tc>
        <w:tc>
          <w:tcPr>
            <w:tcW w:w="3116" w:type="dxa"/>
            <w:vAlign w:val="top"/>
          </w:tcPr>
          <w:p>
            <w:pPr>
              <w:spacing w:before="40" w:after="40"/>
              <w:rPr>
                <w:sz w:val="18"/>
              </w:rPr>
            </w:pPr>
            <w:r>
              <w:rPr>
                <w:sz w:val="18"/>
                <w:szCs w:val="18"/>
              </w:rPr>
              <w:t xml:space="preserve">Lectora en la central con la tarjeta de empresa: </w:t>
            </w:r>
            <w:r>
              <w:rPr>
                <w:b/>
                <w:sz w:val="18"/>
                <w:szCs w:val="18"/>
              </w:rPr>
              <w:t xml:space="preserve">es el elemento que autoriza la descarga remota</w:t>
            </w:r>
          </w:p>
        </w:tc>
        <w:tc>
          <w:tcPr>
            <w:tcW w:w="3116" w:type="dxa"/>
            <w:vAlign w:val="top"/>
          </w:tcPr>
          <w:p>
            <w:pPr>
              <w:spacing w:before="40" w:after="40"/>
              <w:rPr>
                <w:sz w:val="18"/>
              </w:rPr>
            </w:pPr>
            <w:r>
              <w:rPr>
                <w:sz w:val="18"/>
                <w:szCs w:val="18"/>
              </w:rPr>
              <w:t xml:space="preserve">Requisito funcional del mecanismo</w:t>
            </w:r>
          </w:p>
        </w:tc>
      </w:tr>
      <w:tr>
        <w:trPr>
          <w:cantSplit/>
        </w:trPr>
        <w:tc>
          <w:tcPr>
            <w:tcW w:w="3116" w:type="dxa"/>
            <w:vAlign w:val="top"/>
          </w:tcPr>
          <w:p>
            <w:pPr>
              <w:spacing w:before="40" w:after="40"/>
              <w:rPr>
                <w:sz w:val="18"/>
              </w:rPr>
            </w:pPr>
            <w:r>
              <w:rPr>
                <w:sz w:val="18"/>
                <w:szCs w:val="18"/>
              </w:rPr>
              <w:t xml:space="preserve">Periodicidad</w:t>
            </w:r>
          </w:p>
        </w:tc>
        <w:tc>
          <w:tcPr>
            <w:tcW w:w="3116" w:type="dxa"/>
            <w:vAlign w:val="top"/>
          </w:tcPr>
          <w:p>
            <w:pPr>
              <w:spacing w:before="40" w:after="40"/>
              <w:rPr>
                <w:sz w:val="18"/>
              </w:rPr>
            </w:pPr>
            <w:r>
              <w:rPr>
                <w:sz w:val="18"/>
                <w:szCs w:val="18"/>
              </w:rPr>
              <w:t xml:space="preserve">Declarar la política. La práctica europea es 28 días conductor / 90 días vehículo</w:t>
            </w:r>
          </w:p>
        </w:tc>
        <w:tc>
          <w:tcPr>
            <w:tcW w:w="3116" w:type="dxa"/>
            <w:vAlign w:val="top"/>
          </w:tcPr>
          <w:p>
            <w:pPr>
              <w:spacing w:before="40" w:after="40"/>
              <w:rPr>
                <w:sz w:val="18"/>
              </w:rPr>
            </w:pPr>
            <w:r>
              <w:rPr>
                <w:sz w:val="18"/>
                <w:szCs w:val="18"/>
              </w:rPr>
              <w:t xml:space="preserve">A confirmar contra normativa chilena</w:t>
            </w:r>
          </w:p>
        </w:tc>
      </w:tr>
      <w:tr>
        <w:trPr>
          <w:cantSplit/>
        </w:trPr>
        <w:tc>
          <w:tcPr>
            <w:tcW w:w="3116" w:type="dxa"/>
            <w:vAlign w:val="top"/>
          </w:tcPr>
          <w:p>
            <w:pPr>
              <w:spacing w:before="40" w:after="40"/>
              <w:rPr>
                <w:sz w:val="18"/>
              </w:rPr>
            </w:pPr>
            <w:r>
              <w:rPr>
                <w:sz w:val="18"/>
                <w:szCs w:val="18"/>
              </w:rPr>
              <w:t xml:space="preserve">Conservación</w:t>
            </w:r>
          </w:p>
        </w:tc>
        <w:tc>
          <w:tcPr>
            <w:tcW w:w="3116" w:type="dxa"/>
            <w:vAlign w:val="top"/>
          </w:tcPr>
          <w:p>
            <w:pPr>
              <w:spacing w:before="40" w:after="40"/>
              <w:rPr>
                <w:sz w:val="18"/>
              </w:rPr>
            </w:pPr>
            <w:r>
              <w:rPr>
                <w:sz w:val="18"/>
                <w:szCs w:val="18"/>
              </w:rPr>
              <w:t xml:space="preserve">Mínimo 5 años</w:t>
            </w:r>
          </w:p>
        </w:tc>
        <w:tc>
          <w:tcPr>
            <w:tcW w:w="3116" w:type="dxa"/>
            <w:vAlign w:val="top"/>
          </w:tcPr>
          <w:p>
            <w:pPr>
              <w:spacing w:before="40" w:after="40"/>
              <w:rPr>
                <w:sz w:val="18"/>
              </w:rPr>
            </w:pPr>
            <w:r>
              <w:rPr>
                <w:sz w:val="18"/>
                <w:szCs w:val="18"/>
              </w:rPr>
              <w:t xml:space="preserve">RT-05.10 del Caso, pág. 31/49</w:t>
            </w:r>
          </w:p>
        </w:tc>
      </w:tr>
      <w:tr>
        <w:trPr>
          <w:cantSplit/>
        </w:trPr>
        <w:tc>
          <w:tcPr>
            <w:tcW w:w="3116" w:type="dxa"/>
            <w:vAlign w:val="top"/>
          </w:tcPr>
          <w:p>
            <w:pPr>
              <w:spacing w:before="40" w:after="40"/>
              <w:rPr>
                <w:sz w:val="18"/>
              </w:rPr>
            </w:pPr>
            <w:r>
              <w:rPr>
                <w:sz w:val="18"/>
                <w:szCs w:val="18"/>
              </w:rPr>
              <w:t xml:space="preserve">Integridad</w:t>
            </w:r>
          </w:p>
        </w:tc>
        <w:tc>
          <w:tcPr>
            <w:tcW w:w="3116" w:type="dxa"/>
            <w:vAlign w:val="top"/>
          </w:tcPr>
          <w:p>
            <w:pPr>
              <w:spacing w:before="40" w:after="40"/>
              <w:rPr>
                <w:sz w:val="18"/>
              </w:rPr>
            </w:pPr>
            <w:r>
              <w:rPr>
                <w:sz w:val="18"/>
                <w:szCs w:val="18"/>
              </w:rPr>
              <w:t xml:space="preserve">Sello de tiempo y almacenamiento inmutable</w:t>
            </w:r>
          </w:p>
        </w:tc>
        <w:tc>
          <w:tcPr>
            <w:tcW w:w="3116" w:type="dxa"/>
            <w:vAlign w:val="top"/>
          </w:tcPr>
          <w:p>
            <w:pPr>
              <w:spacing w:before="40" w:after="40"/>
              <w:rPr>
                <w:sz w:val="18"/>
              </w:rPr>
            </w:pPr>
            <w:r>
              <w:rPr>
                <w:sz w:val="18"/>
                <w:szCs w:val="18"/>
              </w:rPr>
              <w:t xml:space="preserve">RT-07.11 · criterio 4 · decisión 24</w:t>
            </w:r>
          </w:p>
        </w:tc>
      </w:tr>
      <w:tr>
        <w:trPr>
          <w:cantSplit/>
        </w:trPr>
        <w:tc>
          <w:tcPr>
            <w:tcW w:w="3116" w:type="dxa"/>
            <w:vAlign w:val="top"/>
          </w:tcPr>
          <w:p>
            <w:pPr>
              <w:spacing w:before="40" w:after="40"/>
              <w:rPr>
                <w:sz w:val="18"/>
              </w:rPr>
            </w:pPr>
            <w:r>
              <w:rPr>
                <w:sz w:val="18"/>
                <w:szCs w:val="18"/>
              </w:rPr>
              <w:t xml:space="preserve">Estándares</w:t>
            </w:r>
          </w:p>
        </w:tc>
        <w:tc>
          <w:tcPr>
            <w:tcW w:w="3116" w:type="dxa"/>
            <w:vAlign w:val="top"/>
          </w:tcPr>
          <w:p>
            <w:pPr>
              <w:spacing w:before="40" w:after="40"/>
              <w:rPr>
                <w:sz w:val="18"/>
              </w:rPr>
            </w:pPr>
            <w:r>
              <w:rPr>
                <w:sz w:val="18"/>
                <w:szCs w:val="18"/>
              </w:rPr>
              <w:t xml:space="preserve">Identificar por denominación y verificar con cada proveedor y fabricante qué es accesible</w:t>
            </w:r>
          </w:p>
        </w:tc>
        <w:tc>
          <w:tcPr>
            <w:tcW w:w="3116" w:type="dxa"/>
            <w:vAlign w:val="top"/>
          </w:tcPr>
          <w:p>
            <w:pPr>
              <w:spacing w:before="40" w:after="40"/>
              <w:rPr>
                <w:sz w:val="18"/>
              </w:rPr>
            </w:pPr>
            <w:r>
              <w:rPr>
                <w:b/>
                <w:sz w:val="18"/>
                <w:szCs w:val="18"/>
              </w:rPr>
              <w:t xml:space="preserve">RT-05.23 del Caso, pág. 32/49</w:t>
            </w:r>
          </w:p>
        </w:tc>
      </w:tr>
    </w:tbl>
    <w:p>
      <w:pPr>
        <w:spacing w:before="0" w:after="100"/>
      </w:pPr>
    </w:p>
    <w:p>
      <w:pPr>
        <w:spacing w:before="0" w:after="140" w:line="264" w:lineRule="auto"/>
      </w:pPr>
      <w:r>
        <w:rPr>
          <w:b/>
        </w:rPr>
        <w:t xml:space="preserve">Marco normativo chileno — orientación, con verificación pendiente.</w:t>
      </w:r>
      <w:r>
        <w:t xml:space="preserve"> Búsqueda web indica que el Decreto N.º 80 de 2004 exige dispositivo de registro en vehículos de servicios interurbanos, y que desde el 1 de abril de 1995 los vehículos de carga con motor sobre 360 HP-SAE deben estar dotados de tacógrafo. </w:t>
      </w:r>
      <w:r>
        <w:rPr>
          <w:b/>
        </w:rPr>
        <w:t xml:space="preserve">No lo verifiqué en fuente oficial y no debe citarse en el informe hasta confirmarlo en la Biblioteca del Congreso o el MTT.</w:t>
      </w:r>
      <w:r>
        <w:t xml:space="preserve"> Lo que sí está verificado en fuentes de la Dirección del Trabajo es el régimen del </w:t>
      </w:r>
      <w:r>
        <w:rPr>
          <w:b/>
        </w:rPr>
        <w:t xml:space="preserve">Art. 25 bis del Código del Trabajo [?]</w:t>
      </w:r>
      <w:r>
        <w:t xml:space="preserve"> (180 h mensuales, no distribuibles en menos de 21 días, descansos y esperas no imputables a jornada) y la </w:t>
      </w:r>
      <w:r>
        <w:rPr>
          <w:b/>
        </w:rPr>
        <w:t xml:space="preserve">Res. Ex. N.º 1213 de 08-10-2009 [?]</w:t>
      </w:r>
      <w:r>
        <w:t xml:space="preserve">, que establece la libreta foliada, timbrada y registrada en la Inspección del Trabajo, de confección y costo del empleador.</w:t>
      </w:r>
    </w:p>
    <w:p>
      <w:pPr>
        <w:shd w:val="clear" w:fill="FDF3F3"/>
        <w:pBdr>
          <w:left w:val="single" w:sz="18" w:space="8" w:color="D98A8A"/>
        </w:pBdr>
        <w:ind w:left="200"/>
        <w:spacing w:before="100" w:after="140"/>
      </w:pPr>
      <w:r>
        <w:rPr>
          <w:sz w:val="21"/>
          <w:szCs w:val="21"/>
        </w:rPr>
        <w:t xml:space="preserve">⚠ </w:t>
      </w:r>
      <w:r>
        <w:rPr>
          <w:b/>
          <w:sz w:val="21"/>
          <w:szCs w:val="21"/>
        </w:rPr>
        <w:t xml:space="preserve">Las dos referencias laborales anteriores vienen de `BLOQUE2-INVESTIGACION-TECNICA.md`, de una sesión anterior. Ese archivo las declara verificadas en fuentes de la Dirección del Trabajo, pero no fueron contrastadas en este análisis.</w:t>
      </w:r>
      <w:r>
        <w:rPr>
          <w:sz w:val="21"/>
          <w:szCs w:val="21"/>
        </w:rPr>
        <w:t xml:space="preserve"> Antes de citarlas en el informe hay que abrir la norma.</w:t>
      </w:r>
    </w:p>
    <w:p>
      <w:pPr>
        <w:spacing w:before="0" w:after="140" w:line="264" w:lineRule="auto"/>
      </w:pPr>
      <w:r>
        <w:rPr>
          <w:b/>
        </w:rPr>
        <w:t xml:space="preserve">Y la consecuencia legal que ordena todo:</w:t>
      </w:r>
      <w:r>
        <w:t xml:space="preserve"> para los 258 conductores externos </w:t>
      </w:r>
      <w:r>
        <w:rPr>
          <w:b/>
        </w:rPr>
        <w:t xml:space="preserve">el empleador es el transportista, no Curimón</w:t>
      </w:r>
      <w:r>
        <w:t xml:space="preserve">. La libreta es del transportista. Eso no es un obstáculo: es el mejor anclaje jurídico de nuestra postura, porque confirma que la obligación se persigue por el </w:t>
      </w:r>
      <w:r>
        <w:rPr>
          <w:b/>
        </w:rPr>
        <w:t xml:space="preserve">contrato con el dueño del camión</w:t>
      </w:r>
      <w:r>
        <w:t xml:space="preserve">, que es exactamente lo que la restricción 2 permite.</w:t>
      </w:r>
    </w:p>
    <w:p>
      <w:pPr>
        <w:spacing w:before="0" w:after="140" w:line="264" w:lineRule="auto"/>
      </w:pPr>
      <w:r>
        <w:rPr>
          <w:b/>
        </w:rPr>
        <w:t xml:space="preserve">Retención — matiz que corrige el planteamiento «conservar solo cuando el viaje es nuestro»:</w:t>
      </w:r>
      <w:r>
        <w:t xml:space="preserve"> RT-05.10 del Caso (pág. 31/49) fija el registro de jornada y su evidencia en </w:t>
      </w:r>
      <w:r>
        <w:rPr>
          <w:b/>
        </w:rPr>
        <w:t xml:space="preserve">mínimo 5 años</w:t>
      </w:r>
      <w:r>
        <w:t xml:space="preserve"> y no distingue propio de tercero, porque la acreditación se exige por viaje. Lo que sí se limita es el </w:t>
      </w:r>
      <w:r>
        <w:rPr>
          <w:b/>
        </w:rPr>
        <w:t xml:space="preserve">alcance</w:t>
      </w:r>
      <w:r>
        <w:t xml:space="preserve">: se conserva la jornada del viaje que Curimón despachó, no la actividad del conductor para otras empresas. Esa es la minimización que se declara y se defiende.</w:t>
      </w:r>
    </w:p>
    <w:p>
      <w:pPr>
        <w:pBdr>
          <w:bottom w:val="single" w:sz="6" w:space="1" w:color="C8D2DE"/>
        </w:pBdr>
        <w:spacing w:before="160" w:after="160"/>
      </w:pPr>
    </w:p>
    <w:p>
      <w:pPr>
        <w:pStyle w:val="Heading2"/>
        <w:keepNext/>
        <w:spacing w:before="260" w:after="100"/>
      </w:pPr>
      <w:r>
        <w:t xml:space="preserve">5.7 Telemetría de fábrica — qué es y qué hacemos con ella</w:t>
      </w:r>
    </w:p>
    <w:p>
      <w:pPr>
        <w:spacing w:before="0" w:after="140" w:line="264" w:lineRule="auto"/>
      </w:pPr>
      <w:r>
        <w:rPr>
          <w:b/>
        </w:rPr>
        <w:t xml:space="preserve">En una frase: el camión moderno ya trae de fábrica su propia unidad telemática, que envía datos a la nube del fabricante. No hay que instalar nada — hay que pedir acceso.</w:t>
      </w:r>
    </w:p>
    <w:p>
      <w:pPr>
        <w:spacing w:before="0" w:after="140" w:line="264" w:lineRule="auto"/>
      </w:pPr>
      <w:r>
        <w:t xml:space="preserve">Los seis fabricantes europeos —Volvo, Scania, Mercedes-Benz, MAN, DAF e Iveco— crearon el estándar </w:t>
      </w:r>
      <w:r>
        <w:rPr>
          <w:b/>
        </w:rPr>
        <w:t xml:space="preserve">FMS</w:t>
      </w:r>
      <w:r>
        <w:t xml:space="preserve"> en 2002. Su versión remota es </w:t>
      </w:r>
      <w:r>
        <w:rPr>
          <w:b/>
        </w:rPr>
        <w:t xml:space="preserve">rFMS</w:t>
      </w:r>
      <w:r>
        <w:t xml:space="preserve"> (</w:t>
      </w:r>
      <w:r>
        <w:rPr>
          <w:i/>
        </w:rPr>
        <w:t xml:space="preserve">remote Fleet Management System</w:t>
      </w:r>
      <w:r>
        <w:t xml:space="preserve">): una API REST sobre HTTPS que expone los datos del vehículo de forma estandarizada, con métodos </w:t>
      </w:r>
      <w:r>
        <w:rPr>
          <w:i/>
        </w:rPr>
        <w:t xml:space="preserve">pull</w:t>
      </w:r>
      <w:r>
        <w:t xml:space="preserve"> y </w:t>
      </w:r>
      <w:r>
        <w:rPr>
          <w:i/>
        </w:rPr>
        <w:t xml:space="preserve">push</w:t>
      </w:r>
      <w:r>
        <w:t xml:space="preserve">. Especificación vigente </w:t>
      </w:r>
      <w:r>
        <w:rPr>
          <w:b/>
        </w:rPr>
        <w:t xml:space="preserve">v5.0.0, julio de 2025</w:t>
      </w:r>
      <w:r>
        <w:t xml:space="preserve">, publicada en </w:t>
      </w:r>
      <w:r>
        <w:rPr>
          <w:rFonts w:ascii="Consolas" w:hAnsi="Consolas"/>
          <w:color w:val="5B21B6"/>
          <w:sz w:val="20"/>
          <w:szCs w:val="20"/>
          <w:shd w:val="clear" w:fill="F1F4F8"/>
        </w:rPr>
        <w:t xml:space="preserve">fms-standard.com</w:t>
      </w:r>
      <w:r>
        <w:t xml:space="preserve">.</w:t>
      </w:r>
    </w:p>
    <w:p>
      <w:pPr>
        <w:spacing w:before="0" w:after="140" w:line="264" w:lineRule="auto"/>
      </w:pPr>
      <w:r>
        <w:rPr>
          <w:b/>
        </w:rPr>
        <w:t xml:space="preserve">En este caso son 61 tractocamiones propios.</w:t>
      </w:r>
      <w:r>
        <w:t xml:space="preserve"> El Cap. 5 (pág. 12/49) dice que generan «kilometraje, consumo, códigos de falla y conducción» y que hoy </w:t>
      </w:r>
      <w:r>
        <w:rPr>
          <w:b/>
        </w:rPr>
        <w:t xml:space="preserve">nadie los descarga</w:t>
      </w:r>
      <w:r>
        <w:t xml:space="preserve">. Es la </w:t>
      </w:r>
      <w:r>
        <w:rPr>
          <w:b/>
        </w:rPr>
        <w:t xml:space="preserve">decisión 12</w:t>
      </w:r>
      <w:r>
        <w:t xml:space="preserve"> (pág. 35/49):</w:t>
      </w:r>
    </w:p>
    <w:p>
      <w:pPr>
        <w:shd w:val="clear" w:fill="F4F7FB"/>
        <w:pBdr>
          <w:left w:val="single" w:sz="18" w:space="8" w:color="9CC3F5"/>
        </w:pBdr>
        <w:ind w:left="200"/>
        <w:spacing w:before="100" w:after="140"/>
      </w:pPr>
      <w:r>
        <w:rPr>
          <w:sz w:val="21"/>
          <w:szCs w:val="21"/>
        </w:rPr>
        <w:t xml:space="preserve">«El dato existe, </w:t>
      </w:r>
      <w:r>
        <w:rPr>
          <w:b/>
          <w:sz w:val="21"/>
          <w:szCs w:val="21"/>
        </w:rPr>
        <w:t xml:space="preserve">es gratuito</w:t>
      </w:r>
      <w:r>
        <w:rPr>
          <w:sz w:val="21"/>
          <w:szCs w:val="21"/>
        </w:rPr>
        <w:t xml:space="preserve"> y permitiría mantenimiento por condición, consumo real y hábitos de conducción. Su acceso depende de cada fabricante.»</w:t>
      </w:r>
    </w:p>
    <w:p>
      <w:pPr>
        <w:spacing w:before="0" w:after="140" w:line="264" w:lineRule="auto"/>
      </w:pPr>
      <w:r>
        <w:rPr>
          <w:b/>
        </w:rPr>
        <w:t xml:space="preserve">Las tres reglas que lo acotan:</w:t>
      </w:r>
    </w:p>
    <w:p>
      <w:pPr>
        <w:ind w:left="340"/>
        <w:spacing w:before="20" w:after="60"/>
      </w:pPr>
      <w:r>
        <w:t xml:space="preserve">1.  </w:t>
      </w:r>
      <w:r>
        <w:rPr>
          <w:b/>
        </w:rPr>
        <w:t xml:space="preserve">RT-17.06</w:t>
      </w:r>
      <w:r>
        <w:t xml:space="preserve"> del Caso (pág. 34/49) lo lista entre los periféricos a integrar, «como</w:t>
      </w:r>
    </w:p>
    <w:p>
      <w:pPr>
        <w:spacing w:before="0" w:after="140" w:line="264" w:lineRule="auto"/>
      </w:pPr>
      <w:r>
        <w:rPr>
          <w:b/>
        </w:rPr>
        <w:t xml:space="preserve">integración de solo lectura</w:t>
      </w:r>
      <w:r>
        <w:t xml:space="preserve"> sujeta a la autorización de cada fabricante».</w:t>
      </w:r>
    </w:p>
    <w:p>
      <w:pPr>
        <w:ind w:left="340"/>
        <w:spacing w:before="20" w:after="60"/>
      </w:pPr>
      <w:r>
        <w:t xml:space="preserve">2.  </w:t>
      </w:r>
      <w:r>
        <w:t xml:space="preserve">El Cap. 11 (pág. 24/49) excluye expresamente intervenir los sistemas del vehículo o modificar</w:t>
      </w:r>
    </w:p>
    <w:p>
      <w:pPr>
        <w:spacing w:before="0" w:after="140" w:line="264" w:lineRule="auto"/>
      </w:pPr>
      <w:r>
        <w:t xml:space="preserve">su electrónica de fábrica.</w:t>
      </w:r>
    </w:p>
    <w:p>
      <w:pPr>
        <w:ind w:left="340"/>
        <w:spacing w:before="20" w:after="60"/>
      </w:pPr>
      <w:r>
        <w:t xml:space="preserve">3.  </w:t>
      </w:r>
      <w:r>
        <w:t xml:space="preserve">El contrato y la suscripción son </w:t>
      </w:r>
      <w:r>
        <w:rPr>
          <w:b/>
        </w:rPr>
        <w:t xml:space="preserve">específicos de cada OEM</w:t>
      </w:r>
      <w:r>
        <w:t xml:space="preserve">: hay que negociar marca por marca.</w:t>
      </w:r>
    </w:p>
    <w:p>
      <w:pPr>
        <w:spacing w:before="0" w:after="140" w:line="264" w:lineRule="auto"/>
      </w:pPr>
      <w:r>
        <w:t xml:space="preserve">Es lo que el Cap. 5 quiere decir con «su factibilidad debe verificarse con cada fabricante».</w:t>
      </w:r>
    </w:p>
    <w:p>
      <w:pPr>
        <w:spacing w:before="0" w:after="140" w:line="264" w:lineRule="auto"/>
      </w:pPr>
      <w:r>
        <w:rPr>
          <w:b/>
        </w:rPr>
        <w:t xml:space="preserve">Por qué importa específicamente a D4 — y este es el argumento diferenciador:</w:t>
      </w:r>
    </w:p>
    <w:p>
      <w:pPr>
        <w:shd w:val="clear" w:fill="F4F7FB"/>
        <w:pBdr>
          <w:left w:val="single" w:sz="18" w:space="8" w:color="9CC3F5"/>
        </w:pBdr>
        <w:ind w:left="200"/>
        <w:spacing w:before="100" w:after="140"/>
      </w:pPr>
      <w:r>
        <w:rPr>
          <w:sz w:val="21"/>
          <w:szCs w:val="21"/>
        </w:rPr>
        <w:t xml:space="preserve">Es la </w:t>
      </w:r>
      <w:r>
        <w:rPr>
          <w:b/>
          <w:sz w:val="21"/>
          <w:szCs w:val="21"/>
        </w:rPr>
        <w:t xml:space="preserve">única capacidad de terreno que no consume la restricción 5</w:t>
      </w:r>
      <w:r>
        <w:rPr>
          <w:sz w:val="21"/>
          <w:szCs w:val="21"/>
        </w:rPr>
        <w:t xml:space="preserve">. No hay hardware que comprar, no hay instalación, no hay que esperar a que el camión pase por un terminal cada 6 días. Entra en producción sin tocar un solo vehículo, y da resultados desde la Etapa 1 mientras el despliegue físico avanza a su propio ritmo.</w:t>
      </w:r>
    </w:p>
    <w:p>
      <w:pPr>
        <w:spacing w:before="0" w:after="140" w:line="264" w:lineRule="auto"/>
      </w:pPr>
      <w:r>
        <w:t xml:space="preserve">Hoy el mantenimiento preventivo se gatilla con un odómetro leído a mano cuando el camión pasa por el taller. Con rFMS pasa a gatillarse por condición y consumo real.</w:t>
      </w:r>
    </w:p>
    <w:p>
      <w:pPr>
        <w:spacing w:before="0" w:after="140" w:line="264" w:lineRule="auto"/>
      </w:pPr>
      <w:r>
        <w:rPr>
          <w:b/>
        </w:rPr>
        <w:t xml:space="preserve">Qué hay que verificar y declarar:</w:t>
      </w:r>
      <w:r>
        <w:t xml:space="preserve"> qué versión de rFMS soporta cada marca presente en la flota; si el modelo y año de cada tractocamión expone el servicio; y bajo qué contrato y suscripción por OEM. Crece a ≈110 tractocamiones en 3 años (Cap. 14.1, pág. 29/49).</w:t>
      </w:r>
    </w:p>
    <w:p>
      <w:pPr>
        <w:pBdr>
          <w:bottom w:val="single" w:sz="6" w:space="1" w:color="C8D2DE"/>
        </w:pBdr>
        <w:spacing w:before="160" w:after="160"/>
      </w:pPr>
    </w:p>
    <w:p>
      <w:pPr>
        <w:pStyle w:val="Heading2"/>
        <w:keepNext/>
        <w:spacing w:before="260" w:after="100"/>
      </w:pPr>
      <w:r>
        <w:t xml:space="preserve">5.8 Data center primario — nube</w:t>
      </w:r>
    </w:p>
    <w:p>
      <w:pPr>
        <w:pStyle w:val="Heading3"/>
        <w:keepNext/>
        <w:spacing w:before="200" w:after="80"/>
      </w:pPr>
      <w:r>
        <w:t xml:space="preserve">5.8.1 La región y por qué cumple</w:t>
      </w:r>
    </w:p>
    <w:p>
      <w:pPr>
        <w:spacing w:before="0" w:after="140" w:line="264" w:lineRule="auto"/>
      </w:pPr>
      <w:r>
        <w:rPr>
          <w:b/>
        </w:rPr>
        <w:t xml:space="preserve">Azure Chile Central [F]</w:t>
      </w:r>
      <w:r>
        <w:t xml:space="preserve">, Santiago (comuna de Quilicura). Generalmente disponible desde 2025, con </w:t>
      </w:r>
      <w:r>
        <w:rPr>
          <w:b/>
        </w:rPr>
        <w:t xml:space="preserve">tres zonas de disponibilidad</w:t>
      </w:r>
      <w:r>
        <w:t xml:space="preserve"> y residencia de datos en Chile.</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Requisito</w:t>
            </w:r>
          </w:p>
        </w:tc>
        <w:tc>
          <w:tcPr>
            <w:tcW w:w="3116" w:type="dxa"/>
            <w:shd w:val="clear" w:fill="EDF2F8"/>
            <w:vAlign w:val="top"/>
          </w:tcPr>
          <w:p>
            <w:pPr>
              <w:spacing w:before="40" w:after="40"/>
              <w:rPr>
                <w:sz w:val="18"/>
              </w:rPr>
            </w:pPr>
            <w:r>
              <w:rPr>
                <w:b/>
                <w:sz w:val="18"/>
                <w:szCs w:val="18"/>
              </w:rPr>
              <w:t xml:space="preserve">Texto</w:t>
            </w:r>
          </w:p>
        </w:tc>
        <w:tc>
          <w:tcPr>
            <w:tcW w:w="3116" w:type="dxa"/>
            <w:shd w:val="clear" w:fill="EDF2F8"/>
            <w:vAlign w:val="top"/>
          </w:tcPr>
          <w:p>
            <w:pPr>
              <w:spacing w:before="40" w:after="40"/>
              <w:rPr>
                <w:sz w:val="18"/>
              </w:rPr>
            </w:pPr>
            <w:r>
              <w:rPr>
                <w:b/>
                <w:sz w:val="18"/>
                <w:szCs w:val="18"/>
              </w:rPr>
              <w:t xml:space="preserve">Cómo se cumple</w:t>
            </w:r>
          </w:p>
        </w:tc>
      </w:tr>
      <w:tr>
        <w:trPr>
          <w:cantSplit/>
        </w:trPr>
        <w:tc>
          <w:tcPr>
            <w:tcW w:w="3116" w:type="dxa"/>
            <w:vAlign w:val="top"/>
          </w:tcPr>
          <w:p>
            <w:pPr>
              <w:spacing w:before="40" w:after="40"/>
              <w:rPr>
                <w:sz w:val="18"/>
              </w:rPr>
            </w:pPr>
            <w:r>
              <w:rPr>
                <w:sz w:val="18"/>
                <w:szCs w:val="18"/>
              </w:rPr>
              <w:t xml:space="preserve">RT-03.01 (pág. 8/51)</w:t>
            </w:r>
          </w:p>
        </w:tc>
        <w:tc>
          <w:tcPr>
            <w:tcW w:w="3116" w:type="dxa"/>
            <w:vAlign w:val="top"/>
          </w:tcPr>
          <w:p>
            <w:pPr>
              <w:spacing w:before="40" w:after="40"/>
              <w:rPr>
                <w:sz w:val="18"/>
              </w:rPr>
            </w:pPr>
            <w:r>
              <w:rPr>
                <w:sz w:val="18"/>
                <w:szCs w:val="18"/>
              </w:rPr>
              <w:t xml:space="preserve">Zona en Chile o en Sudamérica</w:t>
            </w:r>
          </w:p>
        </w:tc>
        <w:tc>
          <w:tcPr>
            <w:tcW w:w="3116" w:type="dxa"/>
            <w:vAlign w:val="top"/>
          </w:tcPr>
          <w:p>
            <w:pPr>
              <w:spacing w:before="40" w:after="40"/>
              <w:rPr>
                <w:sz w:val="18"/>
              </w:rPr>
            </w:pPr>
            <w:r>
              <w:rPr>
                <w:sz w:val="18"/>
                <w:szCs w:val="18"/>
              </w:rPr>
              <w:t xml:space="preserve">Chile Central, Santiago</w:t>
            </w:r>
          </w:p>
        </w:tc>
      </w:tr>
      <w:tr>
        <w:trPr>
          <w:cantSplit/>
        </w:trPr>
        <w:tc>
          <w:tcPr>
            <w:tcW w:w="3116" w:type="dxa"/>
            <w:vAlign w:val="top"/>
          </w:tcPr>
          <w:p>
            <w:pPr>
              <w:spacing w:before="40" w:after="40"/>
              <w:rPr>
                <w:sz w:val="18"/>
              </w:rPr>
            </w:pPr>
            <w:r>
              <w:rPr>
                <w:sz w:val="18"/>
                <w:szCs w:val="18"/>
              </w:rPr>
              <w:t xml:space="preserve">RT-03.02 (pág. 8/51)</w:t>
            </w:r>
          </w:p>
        </w:tc>
        <w:tc>
          <w:tcPr>
            <w:tcW w:w="3116" w:type="dxa"/>
            <w:vAlign w:val="top"/>
          </w:tcPr>
          <w:p>
            <w:pPr>
              <w:spacing w:before="40" w:after="40"/>
              <w:rPr>
                <w:sz w:val="18"/>
              </w:rPr>
            </w:pPr>
            <w:r>
              <w:rPr>
                <w:sz w:val="18"/>
                <w:szCs w:val="18"/>
              </w:rPr>
              <w:t xml:space="preserve">«al menos dos zonas de disponibilidad. </w:t>
            </w:r>
            <w:r>
              <w:rPr>
                <w:b/>
                <w:sz w:val="18"/>
                <w:szCs w:val="18"/>
              </w:rPr>
              <w:t xml:space="preserve">No se aceptará un diseño en una sola zona</w:t>
            </w:r>
            <w:r>
              <w:rPr>
                <w:sz w:val="18"/>
                <w:szCs w:val="18"/>
              </w:rPr>
              <w:t xml:space="preserve">»</w:t>
            </w:r>
          </w:p>
        </w:tc>
        <w:tc>
          <w:tcPr>
            <w:tcW w:w="3116" w:type="dxa"/>
            <w:vAlign w:val="top"/>
          </w:tcPr>
          <w:p>
            <w:pPr>
              <w:spacing w:before="40" w:after="40"/>
              <w:rPr>
                <w:sz w:val="18"/>
              </w:rPr>
            </w:pPr>
            <w:r>
              <w:rPr>
                <w:sz w:val="18"/>
                <w:szCs w:val="18"/>
              </w:rPr>
              <w:t xml:space="preserve">3 AZ disponibles; todo componente crítico zone-redundant</w:t>
            </w:r>
          </w:p>
        </w:tc>
      </w:tr>
      <w:tr>
        <w:trPr>
          <w:cantSplit/>
        </w:trPr>
        <w:tc>
          <w:tcPr>
            <w:tcW w:w="3116" w:type="dxa"/>
            <w:vAlign w:val="top"/>
          </w:tcPr>
          <w:p>
            <w:pPr>
              <w:spacing w:before="40" w:after="40"/>
              <w:rPr>
                <w:sz w:val="18"/>
              </w:rPr>
            </w:pPr>
            <w:r>
              <w:rPr>
                <w:sz w:val="18"/>
                <w:szCs w:val="18"/>
              </w:rPr>
              <w:t xml:space="preserve">RT-11.10 (pág. 32/49)</w:t>
            </w:r>
          </w:p>
        </w:tc>
        <w:tc>
          <w:tcPr>
            <w:tcW w:w="3116" w:type="dxa"/>
            <w:vAlign w:val="top"/>
          </w:tcPr>
          <w:p>
            <w:pPr>
              <w:spacing w:before="40" w:after="40"/>
              <w:rPr>
                <w:sz w:val="18"/>
              </w:rPr>
            </w:pPr>
            <w:r>
              <w:rPr>
                <w:sz w:val="18"/>
                <w:szCs w:val="18"/>
              </w:rPr>
              <w:t xml:space="preserve">Cifrado a nivel de campo para datos de los 258 conductores y localización asociada a persona identificable</w:t>
            </w:r>
          </w:p>
        </w:tc>
        <w:tc>
          <w:tcPr>
            <w:tcW w:w="3116" w:type="dxa"/>
            <w:vAlign w:val="top"/>
          </w:tcPr>
          <w:p>
            <w:pPr>
              <w:spacing w:before="40" w:after="40"/>
              <w:rPr>
                <w:sz w:val="18"/>
              </w:rPr>
            </w:pPr>
            <w:r>
              <w:rPr>
                <w:sz w:val="18"/>
                <w:szCs w:val="18"/>
              </w:rPr>
              <w:t xml:space="preserve">Residencia en Chile + cifrado aplicativo con claves en HSM administrado</w:t>
            </w:r>
          </w:p>
        </w:tc>
      </w:tr>
    </w:tbl>
    <w:p>
      <w:pPr>
        <w:spacing w:before="0" w:after="100"/>
      </w:pPr>
    </w:p>
    <w:p>
      <w:pPr>
        <w:pStyle w:val="Heading3"/>
        <w:keepNext/>
        <w:spacing w:before="200" w:after="80"/>
      </w:pPr>
      <w:r>
        <w:t xml:space="preserve">5.8.2 Mapa de servicios por función</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Función</w:t>
            </w:r>
          </w:p>
        </w:tc>
        <w:tc>
          <w:tcPr>
            <w:tcW w:w="3116" w:type="dxa"/>
            <w:shd w:val="clear" w:fill="EDF2F8"/>
            <w:vAlign w:val="top"/>
          </w:tcPr>
          <w:p>
            <w:pPr>
              <w:spacing w:before="40" w:after="40"/>
              <w:rPr>
                <w:sz w:val="18"/>
              </w:rPr>
            </w:pPr>
            <w:r>
              <w:rPr>
                <w:b/>
                <w:sz w:val="18"/>
                <w:szCs w:val="18"/>
              </w:rPr>
              <w:t xml:space="preserve">Servicio Azure</w:t>
            </w:r>
          </w:p>
        </w:tc>
        <w:tc>
          <w:tcPr>
            <w:tcW w:w="3116" w:type="dxa"/>
            <w:shd w:val="clear" w:fill="EDF2F8"/>
            <w:vAlign w:val="top"/>
          </w:tcPr>
          <w:p>
            <w:pPr>
              <w:spacing w:before="40" w:after="40"/>
              <w:rPr>
                <w:sz w:val="18"/>
              </w:rPr>
            </w:pPr>
            <w:r>
              <w:rPr>
                <w:b/>
                <w:sz w:val="18"/>
                <w:szCs w:val="18"/>
              </w:rPr>
              <w:t xml:space="preserve">Requisito que satisface</w:t>
            </w:r>
          </w:p>
        </w:tc>
      </w:tr>
      <w:tr>
        <w:trPr>
          <w:cantSplit/>
        </w:trPr>
        <w:tc>
          <w:tcPr>
            <w:tcW w:w="3116" w:type="dxa"/>
            <w:vAlign w:val="top"/>
          </w:tcPr>
          <w:p>
            <w:pPr>
              <w:spacing w:before="40" w:after="40"/>
              <w:rPr>
                <w:sz w:val="18"/>
              </w:rPr>
            </w:pPr>
            <w:r>
              <w:rPr>
                <w:sz w:val="18"/>
                <w:szCs w:val="18"/>
              </w:rPr>
              <w:t xml:space="preserve">Ingesta de telemetría de 374 dispositivos</w:t>
            </w:r>
          </w:p>
        </w:tc>
        <w:tc>
          <w:tcPr>
            <w:tcW w:w="3116" w:type="dxa"/>
            <w:vAlign w:val="top"/>
          </w:tcPr>
          <w:p>
            <w:pPr>
              <w:spacing w:before="40" w:after="40"/>
              <w:rPr>
                <w:sz w:val="18"/>
              </w:rPr>
            </w:pPr>
            <w:r>
              <w:rPr>
                <w:b/>
                <w:sz w:val="18"/>
                <w:szCs w:val="18"/>
              </w:rPr>
              <w:t xml:space="preserve">Azure IoT Hub</w:t>
            </w:r>
            <w:r>
              <w:rPr>
                <w:sz w:val="18"/>
                <w:szCs w:val="18"/>
              </w:rPr>
              <w:t xml:space="preserve"> + Device Provisioning Service</w:t>
            </w:r>
          </w:p>
        </w:tc>
        <w:tc>
          <w:tcPr>
            <w:tcW w:w="3116" w:type="dxa"/>
            <w:vAlign w:val="top"/>
          </w:tcPr>
          <w:p>
            <w:pPr>
              <w:spacing w:before="40" w:after="40"/>
              <w:rPr>
                <w:sz w:val="18"/>
              </w:rPr>
            </w:pPr>
            <w:r>
              <w:rPr>
                <w:sz w:val="18"/>
                <w:szCs w:val="18"/>
              </w:rPr>
              <w:t xml:space="preserve">RT-03.18</w:t>
            </w:r>
          </w:p>
        </w:tc>
      </w:tr>
      <w:tr>
        <w:trPr>
          <w:cantSplit/>
        </w:trPr>
        <w:tc>
          <w:tcPr>
            <w:tcW w:w="3116" w:type="dxa"/>
            <w:vAlign w:val="top"/>
          </w:tcPr>
          <w:p>
            <w:pPr>
              <w:spacing w:before="40" w:after="40"/>
              <w:rPr>
                <w:sz w:val="18"/>
              </w:rPr>
            </w:pPr>
            <w:r>
              <w:rPr>
                <w:b/>
                <w:sz w:val="18"/>
                <w:szCs w:val="18"/>
              </w:rPr>
              <w:t xml:space="preserve">Gestión del parque distribuido</w:t>
            </w:r>
            <w:r>
              <w:rPr>
                <w:sz w:val="18"/>
                <w:szCs w:val="18"/>
              </w:rPr>
              <w:t xml:space="preserve">: inventario, configuración, firmware, bloqueo y borrado remoto</w:t>
            </w:r>
          </w:p>
        </w:tc>
        <w:tc>
          <w:tcPr>
            <w:tcW w:w="3116" w:type="dxa"/>
            <w:vAlign w:val="top"/>
          </w:tcPr>
          <w:p>
            <w:pPr>
              <w:spacing w:before="40" w:after="40"/>
              <w:rPr>
                <w:sz w:val="18"/>
              </w:rPr>
            </w:pPr>
            <w:r>
              <w:rPr>
                <w:b/>
                <w:sz w:val="18"/>
                <w:szCs w:val="18"/>
              </w:rPr>
              <w:t xml:space="preserve">IoT Hub Device Twins + Device Update for IoT Hub</w:t>
            </w:r>
          </w:p>
        </w:tc>
        <w:tc>
          <w:tcPr>
            <w:tcW w:w="3116" w:type="dxa"/>
            <w:vAlign w:val="top"/>
          </w:tcPr>
          <w:p>
            <w:pPr>
              <w:spacing w:before="40" w:after="40"/>
              <w:rPr>
                <w:sz w:val="18"/>
              </w:rPr>
            </w:pPr>
            <w:r>
              <w:rPr>
                <w:b/>
                <w:sz w:val="18"/>
                <w:szCs w:val="18"/>
              </w:rPr>
              <w:t xml:space="preserve">RT-03.18</w:t>
            </w:r>
            <w:r>
              <w:rPr>
                <w:sz w:val="18"/>
                <w:szCs w:val="18"/>
              </w:rPr>
              <w:t xml:space="preserve"> — es la respuesta literal al requisito</w:t>
            </w:r>
          </w:p>
        </w:tc>
      </w:tr>
      <w:tr>
        <w:trPr>
          <w:cantSplit/>
        </w:trPr>
        <w:tc>
          <w:tcPr>
            <w:tcW w:w="3116" w:type="dxa"/>
            <w:vAlign w:val="top"/>
          </w:tcPr>
          <w:p>
            <w:pPr>
              <w:spacing w:before="40" w:after="40"/>
              <w:rPr>
                <w:sz w:val="18"/>
              </w:rPr>
            </w:pPr>
            <w:r>
              <w:rPr>
                <w:sz w:val="18"/>
                <w:szCs w:val="18"/>
              </w:rPr>
              <w:t xml:space="preserve">Absorción del peak de reconexión masiva</w:t>
            </w:r>
          </w:p>
        </w:tc>
        <w:tc>
          <w:tcPr>
            <w:tcW w:w="3116" w:type="dxa"/>
            <w:vAlign w:val="top"/>
          </w:tcPr>
          <w:p>
            <w:pPr>
              <w:spacing w:before="40" w:after="40"/>
              <w:rPr>
                <w:sz w:val="18"/>
              </w:rPr>
            </w:pPr>
            <w:r>
              <w:rPr>
                <w:b/>
                <w:sz w:val="18"/>
                <w:szCs w:val="18"/>
              </w:rPr>
              <w:t xml:space="preserve">Azure Event Hubs</w:t>
            </w:r>
            <w:r>
              <w:rPr>
                <w:sz w:val="18"/>
                <w:szCs w:val="18"/>
              </w:rPr>
              <w:t xml:space="preserve">, particionado</w:t>
            </w:r>
          </w:p>
        </w:tc>
        <w:tc>
          <w:tcPr>
            <w:tcW w:w="3116" w:type="dxa"/>
            <w:vAlign w:val="top"/>
          </w:tcPr>
          <w:p>
            <w:pPr>
              <w:spacing w:before="40" w:after="40"/>
              <w:rPr>
                <w:sz w:val="18"/>
              </w:rPr>
            </w:pPr>
            <w:r>
              <w:rPr>
                <w:sz w:val="18"/>
                <w:szCs w:val="18"/>
              </w:rPr>
              <w:t xml:space="preserve">Cap. 14.2: «trescientos camiones recuperan cobertura al mismo tiempo»</w:t>
            </w:r>
          </w:p>
        </w:tc>
      </w:tr>
      <w:tr>
        <w:trPr>
          <w:cantSplit/>
        </w:trPr>
        <w:tc>
          <w:tcPr>
            <w:tcW w:w="3116" w:type="dxa"/>
            <w:vAlign w:val="top"/>
          </w:tcPr>
          <w:p>
            <w:pPr>
              <w:spacing w:before="40" w:after="40"/>
              <w:rPr>
                <w:sz w:val="18"/>
              </w:rPr>
            </w:pPr>
            <w:r>
              <w:rPr>
                <w:sz w:val="18"/>
                <w:szCs w:val="18"/>
              </w:rPr>
              <w:t xml:space="preserve">Cómputo de servicios de negocio</w:t>
            </w:r>
          </w:p>
        </w:tc>
        <w:tc>
          <w:tcPr>
            <w:tcW w:w="3116" w:type="dxa"/>
            <w:vAlign w:val="top"/>
          </w:tcPr>
          <w:p>
            <w:pPr>
              <w:spacing w:before="40" w:after="40"/>
              <w:rPr>
                <w:sz w:val="18"/>
              </w:rPr>
            </w:pPr>
            <w:r>
              <w:rPr>
                <w:b/>
                <w:sz w:val="18"/>
                <w:szCs w:val="18"/>
              </w:rPr>
              <w:t xml:space="preserve">AKS</w:t>
            </w:r>
            <w:r>
              <w:rPr>
                <w:sz w:val="18"/>
                <w:szCs w:val="18"/>
              </w:rPr>
              <w:t xml:space="preserve"> zone-redundant, servicios sin estado</w:t>
            </w:r>
          </w:p>
        </w:tc>
        <w:tc>
          <w:tcPr>
            <w:tcW w:w="3116" w:type="dxa"/>
            <w:vAlign w:val="top"/>
          </w:tcPr>
          <w:p>
            <w:pPr>
              <w:spacing w:before="40" w:after="40"/>
              <w:rPr>
                <w:sz w:val="18"/>
              </w:rPr>
            </w:pPr>
            <w:r>
              <w:rPr>
                <w:sz w:val="18"/>
                <w:szCs w:val="18"/>
              </w:rPr>
              <w:t xml:space="preserve">RT-03.02, RT-02.05</w:t>
            </w:r>
          </w:p>
        </w:tc>
      </w:tr>
      <w:tr>
        <w:trPr>
          <w:cantSplit/>
        </w:trPr>
        <w:tc>
          <w:tcPr>
            <w:tcW w:w="3116" w:type="dxa"/>
            <w:vAlign w:val="top"/>
          </w:tcPr>
          <w:p>
            <w:pPr>
              <w:spacing w:before="40" w:after="40"/>
              <w:rPr>
                <w:sz w:val="18"/>
              </w:rPr>
            </w:pPr>
            <w:r>
              <w:rPr>
                <w:sz w:val="18"/>
                <w:szCs w:val="18"/>
              </w:rPr>
              <w:t xml:space="preserve">Base transaccional</w:t>
            </w:r>
          </w:p>
        </w:tc>
        <w:tc>
          <w:tcPr>
            <w:tcW w:w="3116" w:type="dxa"/>
            <w:vAlign w:val="top"/>
          </w:tcPr>
          <w:p>
            <w:pPr>
              <w:spacing w:before="40" w:after="40"/>
              <w:rPr>
                <w:sz w:val="18"/>
              </w:rPr>
            </w:pPr>
            <w:r>
              <w:rPr>
                <w:b/>
                <w:sz w:val="18"/>
                <w:szCs w:val="18"/>
              </w:rPr>
              <w:t xml:space="preserve">Azure Database for PostgreSQL Flexible Server</w:t>
            </w:r>
            <w:r>
              <w:rPr>
                <w:sz w:val="18"/>
                <w:szCs w:val="18"/>
              </w:rPr>
              <w:t xml:space="preserve">, HA zone-redundant</w:t>
            </w:r>
          </w:p>
        </w:tc>
        <w:tc>
          <w:tcPr>
            <w:tcW w:w="3116" w:type="dxa"/>
            <w:vAlign w:val="top"/>
          </w:tcPr>
          <w:p>
            <w:pPr>
              <w:spacing w:before="40" w:after="40"/>
              <w:rPr>
                <w:sz w:val="18"/>
              </w:rPr>
            </w:pPr>
            <w:r>
              <w:rPr>
                <w:sz w:val="18"/>
                <w:szCs w:val="18"/>
              </w:rPr>
              <w:t xml:space="preserve">RT-08.02, RT-07.03</w:t>
            </w:r>
          </w:p>
        </w:tc>
      </w:tr>
      <w:tr>
        <w:trPr>
          <w:cantSplit/>
        </w:trPr>
        <w:tc>
          <w:tcPr>
            <w:tcW w:w="3116" w:type="dxa"/>
            <w:vAlign w:val="top"/>
          </w:tcPr>
          <w:p>
            <w:pPr>
              <w:spacing w:before="40" w:after="40"/>
              <w:rPr>
                <w:sz w:val="18"/>
              </w:rPr>
            </w:pPr>
            <w:r>
              <w:rPr>
                <w:sz w:val="18"/>
                <w:szCs w:val="18"/>
              </w:rPr>
              <w:t xml:space="preserve">Series de posición y telemetría</w:t>
            </w:r>
          </w:p>
        </w:tc>
        <w:tc>
          <w:tcPr>
            <w:tcW w:w="3116" w:type="dxa"/>
            <w:vAlign w:val="top"/>
          </w:tcPr>
          <w:p>
            <w:pPr>
              <w:spacing w:before="40" w:after="40"/>
              <w:rPr>
                <w:sz w:val="18"/>
              </w:rPr>
            </w:pPr>
            <w:r>
              <w:rPr>
                <w:b/>
                <w:sz w:val="18"/>
                <w:szCs w:val="18"/>
              </w:rPr>
              <w:t xml:space="preserve">Azure Data Explorer</w:t>
            </w:r>
            <w:r>
              <w:rPr>
                <w:sz w:val="18"/>
                <w:szCs w:val="18"/>
              </w:rPr>
              <w:t xml:space="preserve"> con política de agregación declarada</w:t>
            </w:r>
          </w:p>
        </w:tc>
        <w:tc>
          <w:tcPr>
            <w:tcW w:w="3116" w:type="dxa"/>
            <w:vAlign w:val="top"/>
          </w:tcPr>
          <w:p>
            <w:pPr>
              <w:spacing w:before="40" w:after="40"/>
              <w:rPr>
                <w:sz w:val="18"/>
              </w:rPr>
            </w:pPr>
            <w:r>
              <w:rPr>
                <w:sz w:val="18"/>
                <w:szCs w:val="18"/>
              </w:rPr>
              <w:t xml:space="preserve">RT-05.10 del Caso: 2 años en línea + agregación</w:t>
            </w:r>
          </w:p>
        </w:tc>
      </w:tr>
      <w:tr>
        <w:trPr>
          <w:cantSplit/>
        </w:trPr>
        <w:tc>
          <w:tcPr>
            <w:tcW w:w="3116" w:type="dxa"/>
            <w:vAlign w:val="top"/>
          </w:tcPr>
          <w:p>
            <w:pPr>
              <w:spacing w:before="40" w:after="40"/>
              <w:rPr>
                <w:sz w:val="18"/>
              </w:rPr>
            </w:pPr>
            <w:r>
              <w:rPr>
                <w:sz w:val="18"/>
                <w:szCs w:val="18"/>
              </w:rPr>
              <w:t xml:space="preserve">Documentos, evidencia de jornada, conformidades</w:t>
            </w:r>
          </w:p>
        </w:tc>
        <w:tc>
          <w:tcPr>
            <w:tcW w:w="3116" w:type="dxa"/>
            <w:vAlign w:val="top"/>
          </w:tcPr>
          <w:p>
            <w:pPr>
              <w:spacing w:before="40" w:after="40"/>
              <w:rPr>
                <w:sz w:val="18"/>
              </w:rPr>
            </w:pPr>
            <w:r>
              <w:rPr>
                <w:b/>
                <w:sz w:val="18"/>
                <w:szCs w:val="18"/>
              </w:rPr>
              <w:t xml:space="preserve">Blob Storage con immutable storage / legal hold</w:t>
            </w:r>
          </w:p>
        </w:tc>
        <w:tc>
          <w:tcPr>
            <w:tcW w:w="3116" w:type="dxa"/>
            <w:vAlign w:val="top"/>
          </w:tcPr>
          <w:p>
            <w:pPr>
              <w:spacing w:before="40" w:after="40"/>
              <w:rPr>
                <w:sz w:val="18"/>
              </w:rPr>
            </w:pPr>
            <w:r>
              <w:rPr>
                <w:sz w:val="18"/>
                <w:szCs w:val="18"/>
              </w:rPr>
              <w:t xml:space="preserve">RT-05.10 del Caso (5–10 años) · </w:t>
            </w:r>
            <w:r>
              <w:rPr>
                <w:b/>
                <w:sz w:val="18"/>
                <w:szCs w:val="18"/>
              </w:rPr>
              <w:t xml:space="preserve">RT-07.11</w:t>
            </w:r>
            <w:r>
              <w:rPr>
                <w:sz w:val="18"/>
                <w:szCs w:val="18"/>
              </w:rPr>
              <w:t xml:space="preserve"> copias inmutables</w:t>
            </w:r>
          </w:p>
        </w:tc>
      </w:tr>
      <w:tr>
        <w:trPr>
          <w:cantSplit/>
        </w:trPr>
        <w:tc>
          <w:tcPr>
            <w:tcW w:w="3116" w:type="dxa"/>
            <w:vAlign w:val="top"/>
          </w:tcPr>
          <w:p>
            <w:pPr>
              <w:spacing w:before="40" w:after="40"/>
              <w:rPr>
                <w:sz w:val="18"/>
              </w:rPr>
            </w:pPr>
            <w:r>
              <w:rPr>
                <w:sz w:val="18"/>
                <w:szCs w:val="18"/>
              </w:rPr>
              <w:t xml:space="preserve">Gestión de claves</w:t>
            </w:r>
          </w:p>
        </w:tc>
        <w:tc>
          <w:tcPr>
            <w:tcW w:w="3116" w:type="dxa"/>
            <w:vAlign w:val="top"/>
          </w:tcPr>
          <w:p>
            <w:pPr>
              <w:spacing w:before="40" w:after="40"/>
              <w:rPr>
                <w:sz w:val="18"/>
              </w:rPr>
            </w:pPr>
            <w:r>
              <w:rPr>
                <w:b/>
                <w:sz w:val="18"/>
                <w:szCs w:val="18"/>
              </w:rPr>
              <w:t xml:space="preserve">Key Vault Managed HSM</w:t>
            </w:r>
            <w:r>
              <w:rPr>
                <w:sz w:val="18"/>
                <w:szCs w:val="18"/>
              </w:rPr>
              <w:t xml:space="preserve">, clave independiente de la infraestructura respaldada</w:t>
            </w:r>
          </w:p>
        </w:tc>
        <w:tc>
          <w:tcPr>
            <w:tcW w:w="3116" w:type="dxa"/>
            <w:vAlign w:val="top"/>
          </w:tcPr>
          <w:p>
            <w:pPr>
              <w:spacing w:before="40" w:after="40"/>
              <w:rPr>
                <w:sz w:val="18"/>
              </w:rPr>
            </w:pPr>
            <w:r>
              <w:rPr>
                <w:sz w:val="18"/>
                <w:szCs w:val="18"/>
              </w:rPr>
              <w:t xml:space="preserve">RT-07.10, RT-11.10</w:t>
            </w:r>
          </w:p>
        </w:tc>
      </w:tr>
      <w:tr>
        <w:trPr>
          <w:cantSplit/>
        </w:trPr>
        <w:tc>
          <w:tcPr>
            <w:tcW w:w="3116" w:type="dxa"/>
            <w:vAlign w:val="top"/>
          </w:tcPr>
          <w:p>
            <w:pPr>
              <w:spacing w:before="40" w:after="40"/>
              <w:rPr>
                <w:sz w:val="18"/>
              </w:rPr>
            </w:pPr>
            <w:r>
              <w:rPr>
                <w:sz w:val="18"/>
                <w:szCs w:val="18"/>
              </w:rPr>
              <w:t xml:space="preserve">Identidad interna / externa</w:t>
            </w:r>
          </w:p>
        </w:tc>
        <w:tc>
          <w:tcPr>
            <w:tcW w:w="3116" w:type="dxa"/>
            <w:vAlign w:val="top"/>
          </w:tcPr>
          <w:p>
            <w:pPr>
              <w:spacing w:before="40" w:after="40"/>
              <w:rPr>
                <w:sz w:val="18"/>
              </w:rPr>
            </w:pPr>
            <w:r>
              <w:rPr>
                <w:b/>
                <w:sz w:val="18"/>
                <w:szCs w:val="18"/>
              </w:rPr>
              <w:t xml:space="preserve">Microsoft Entra ID</w:t>
            </w:r>
            <w:r>
              <w:rPr>
                <w:sz w:val="18"/>
                <w:szCs w:val="18"/>
              </w:rPr>
              <w:t xml:space="preserve"> + Entra External ID para 84 clientes y 148 transportistas</w:t>
            </w:r>
          </w:p>
        </w:tc>
        <w:tc>
          <w:tcPr>
            <w:tcW w:w="3116" w:type="dxa"/>
            <w:vAlign w:val="top"/>
          </w:tcPr>
          <w:p>
            <w:pPr>
              <w:spacing w:before="40" w:after="40"/>
              <w:rPr>
                <w:sz w:val="18"/>
              </w:rPr>
            </w:pPr>
            <w:r>
              <w:rPr>
                <w:sz w:val="18"/>
                <w:szCs w:val="18"/>
              </w:rPr>
              <w:t xml:space="preserve">RT-12.11, RT-12.12</w:t>
            </w:r>
          </w:p>
        </w:tc>
      </w:tr>
      <w:tr>
        <w:trPr>
          <w:cantSplit/>
        </w:trPr>
        <w:tc>
          <w:tcPr>
            <w:tcW w:w="3116" w:type="dxa"/>
            <w:vAlign w:val="top"/>
          </w:tcPr>
          <w:p>
            <w:pPr>
              <w:spacing w:before="40" w:after="40"/>
              <w:rPr>
                <w:sz w:val="18"/>
              </w:rPr>
            </w:pPr>
            <w:r>
              <w:rPr>
                <w:sz w:val="18"/>
                <w:szCs w:val="18"/>
              </w:rPr>
              <w:t xml:space="preserve">API y contratos</w:t>
            </w:r>
          </w:p>
        </w:tc>
        <w:tc>
          <w:tcPr>
            <w:tcW w:w="3116" w:type="dxa"/>
            <w:vAlign w:val="top"/>
          </w:tcPr>
          <w:p>
            <w:pPr>
              <w:spacing w:before="40" w:after="40"/>
              <w:rPr>
                <w:sz w:val="18"/>
              </w:rPr>
            </w:pPr>
            <w:r>
              <w:rPr>
                <w:b/>
                <w:sz w:val="18"/>
                <w:szCs w:val="18"/>
              </w:rPr>
              <w:t xml:space="preserve">API Management</w:t>
            </w:r>
            <w:r>
              <w:rPr>
                <w:sz w:val="18"/>
                <w:szCs w:val="18"/>
              </w:rPr>
              <w:t xml:space="preserve"> con OpenAPI 3.1, OAuth 2.1</w:t>
            </w:r>
          </w:p>
        </w:tc>
        <w:tc>
          <w:tcPr>
            <w:tcW w:w="3116" w:type="dxa"/>
            <w:vAlign w:val="top"/>
          </w:tcPr>
          <w:p>
            <w:pPr>
              <w:spacing w:before="40" w:after="40"/>
              <w:rPr>
                <w:sz w:val="18"/>
              </w:rPr>
            </w:pPr>
            <w:r>
              <w:rPr>
                <w:sz w:val="18"/>
                <w:szCs w:val="18"/>
              </w:rPr>
              <w:t xml:space="preserve">RT-05.16, RT-05.18</w:t>
            </w:r>
          </w:p>
        </w:tc>
      </w:tr>
      <w:tr>
        <w:trPr>
          <w:cantSplit/>
        </w:trPr>
        <w:tc>
          <w:tcPr>
            <w:tcW w:w="3116" w:type="dxa"/>
            <w:vAlign w:val="top"/>
          </w:tcPr>
          <w:p>
            <w:pPr>
              <w:spacing w:before="40" w:after="40"/>
              <w:rPr>
                <w:sz w:val="18"/>
              </w:rPr>
            </w:pPr>
            <w:r>
              <w:rPr>
                <w:sz w:val="18"/>
                <w:szCs w:val="18"/>
              </w:rPr>
              <w:t xml:space="preserve">Gobierno del borde y de los gabinetes</w:t>
            </w:r>
          </w:p>
        </w:tc>
        <w:tc>
          <w:tcPr>
            <w:tcW w:w="3116" w:type="dxa"/>
            <w:vAlign w:val="top"/>
          </w:tcPr>
          <w:p>
            <w:pPr>
              <w:spacing w:before="40" w:after="40"/>
              <w:rPr>
                <w:sz w:val="18"/>
              </w:rPr>
            </w:pPr>
            <w:r>
              <w:rPr>
                <w:b/>
                <w:sz w:val="18"/>
                <w:szCs w:val="18"/>
              </w:rPr>
              <w:t xml:space="preserve">Azure Arc</w:t>
            </w:r>
          </w:p>
        </w:tc>
        <w:tc>
          <w:tcPr>
            <w:tcW w:w="3116" w:type="dxa"/>
            <w:vAlign w:val="top"/>
          </w:tcPr>
          <w:p>
            <w:pPr>
              <w:spacing w:before="40" w:after="40"/>
              <w:rPr>
                <w:sz w:val="18"/>
              </w:rPr>
            </w:pPr>
            <w:r>
              <w:rPr>
                <w:sz w:val="18"/>
                <w:szCs w:val="18"/>
              </w:rPr>
              <w:t xml:space="preserve">RT-03.16: observabilidad unificada nube + on-premise</w:t>
            </w:r>
          </w:p>
        </w:tc>
      </w:tr>
      <w:tr>
        <w:trPr>
          <w:cantSplit/>
        </w:trPr>
        <w:tc>
          <w:tcPr>
            <w:tcW w:w="3116" w:type="dxa"/>
            <w:vAlign w:val="top"/>
          </w:tcPr>
          <w:p>
            <w:pPr>
              <w:spacing w:before="40" w:after="40"/>
              <w:rPr>
                <w:sz w:val="18"/>
              </w:rPr>
            </w:pPr>
            <w:r>
              <w:rPr>
                <w:sz w:val="18"/>
                <w:szCs w:val="18"/>
              </w:rPr>
              <w:t xml:space="preserve">Observabilidad</w:t>
            </w:r>
          </w:p>
        </w:tc>
        <w:tc>
          <w:tcPr>
            <w:tcW w:w="3116" w:type="dxa"/>
            <w:vAlign w:val="top"/>
          </w:tcPr>
          <w:p>
            <w:pPr>
              <w:spacing w:before="40" w:after="40"/>
              <w:rPr>
                <w:sz w:val="18"/>
              </w:rPr>
            </w:pPr>
            <w:r>
              <w:rPr>
                <w:b/>
                <w:sz w:val="18"/>
                <w:szCs w:val="18"/>
              </w:rPr>
              <w:t xml:space="preserve">Azure Monitor + Log Analytics + Managed Grafana</w:t>
            </w:r>
          </w:p>
        </w:tc>
        <w:tc>
          <w:tcPr>
            <w:tcW w:w="3116" w:type="dxa"/>
            <w:vAlign w:val="top"/>
          </w:tcPr>
          <w:p>
            <w:pPr>
              <w:spacing w:before="40" w:after="40"/>
              <w:rPr>
                <w:sz w:val="18"/>
              </w:rPr>
            </w:pPr>
            <w:r>
              <w:rPr>
                <w:sz w:val="18"/>
                <w:szCs w:val="18"/>
              </w:rPr>
              <w:t xml:space="preserve">RT-03.16, RT-06.14, RT-06.19</w:t>
            </w:r>
          </w:p>
        </w:tc>
      </w:tr>
      <w:tr>
        <w:trPr>
          <w:cantSplit/>
        </w:trPr>
        <w:tc>
          <w:tcPr>
            <w:tcW w:w="3116" w:type="dxa"/>
            <w:vAlign w:val="top"/>
          </w:tcPr>
          <w:p>
            <w:pPr>
              <w:spacing w:before="40" w:after="40"/>
              <w:rPr>
                <w:sz w:val="18"/>
              </w:rPr>
            </w:pPr>
            <w:r>
              <w:rPr>
                <w:sz w:val="18"/>
                <w:szCs w:val="18"/>
              </w:rPr>
              <w:t xml:space="preserve">Infraestructura como código</w:t>
            </w:r>
          </w:p>
        </w:tc>
        <w:tc>
          <w:tcPr>
            <w:tcW w:w="3116" w:type="dxa"/>
            <w:vAlign w:val="top"/>
          </w:tcPr>
          <w:p>
            <w:pPr>
              <w:spacing w:before="40" w:after="40"/>
              <w:rPr>
                <w:sz w:val="18"/>
              </w:rPr>
            </w:pPr>
            <w:r>
              <w:rPr>
                <w:b/>
                <w:sz w:val="18"/>
                <w:szCs w:val="18"/>
              </w:rPr>
              <w:t xml:space="preserve">Bicep o Terraform</w:t>
            </w:r>
            <w:r>
              <w:rPr>
                <w:sz w:val="18"/>
                <w:szCs w:val="18"/>
              </w:rPr>
              <w:t xml:space="preserve">, versionado en el repositorio del CLIENTE</w:t>
            </w:r>
          </w:p>
        </w:tc>
        <w:tc>
          <w:tcPr>
            <w:tcW w:w="3116" w:type="dxa"/>
            <w:vAlign w:val="top"/>
          </w:tcPr>
          <w:p>
            <w:pPr>
              <w:spacing w:before="40" w:after="40"/>
              <w:rPr>
                <w:sz w:val="18"/>
              </w:rPr>
            </w:pPr>
            <w:r>
              <w:rPr>
                <w:b/>
                <w:sz w:val="18"/>
                <w:szCs w:val="18"/>
              </w:rPr>
              <w:t xml:space="preserve">RT-03.03: «No se admite infraestructura creada manualmente por consola»</w:t>
            </w:r>
          </w:p>
        </w:tc>
      </w:tr>
      <w:tr>
        <w:trPr>
          <w:cantSplit/>
        </w:trPr>
        <w:tc>
          <w:tcPr>
            <w:tcW w:w="3116" w:type="dxa"/>
            <w:vAlign w:val="top"/>
          </w:tcPr>
          <w:p>
            <w:pPr>
              <w:spacing w:before="40" w:after="40"/>
              <w:rPr>
                <w:sz w:val="18"/>
              </w:rPr>
            </w:pPr>
            <w:r>
              <w:rPr>
                <w:sz w:val="18"/>
                <w:szCs w:val="18"/>
              </w:rPr>
              <w:t xml:space="preserve">FinOps</w:t>
            </w:r>
          </w:p>
        </w:tc>
        <w:tc>
          <w:tcPr>
            <w:tcW w:w="3116" w:type="dxa"/>
            <w:vAlign w:val="top"/>
          </w:tcPr>
          <w:p>
            <w:pPr>
              <w:spacing w:before="40" w:after="40"/>
              <w:rPr>
                <w:sz w:val="18"/>
              </w:rPr>
            </w:pPr>
            <w:r>
              <w:rPr>
                <w:b/>
                <w:sz w:val="18"/>
                <w:szCs w:val="18"/>
              </w:rPr>
              <w:t xml:space="preserve">Cost Management</w:t>
            </w:r>
            <w:r>
              <w:rPr>
                <w:sz w:val="18"/>
                <w:szCs w:val="18"/>
              </w:rPr>
              <w:t xml:space="preserve">, etiquetado por ambiente/módulo/centro de costo, presupuestos con alertas, reporte mensual</w:t>
            </w:r>
          </w:p>
        </w:tc>
        <w:tc>
          <w:tcPr>
            <w:tcW w:w="3116" w:type="dxa"/>
            <w:vAlign w:val="top"/>
          </w:tcPr>
          <w:p>
            <w:pPr>
              <w:spacing w:before="40" w:after="40"/>
              <w:rPr>
                <w:sz w:val="18"/>
              </w:rPr>
            </w:pPr>
            <w:r>
              <w:rPr>
                <w:sz w:val="18"/>
                <w:szCs w:val="18"/>
              </w:rPr>
              <w:t xml:space="preserve">RT-03.06</w:t>
            </w:r>
          </w:p>
        </w:tc>
      </w:tr>
      <w:tr>
        <w:trPr>
          <w:cantSplit/>
        </w:trPr>
        <w:tc>
          <w:tcPr>
            <w:tcW w:w="3116" w:type="dxa"/>
            <w:vAlign w:val="top"/>
          </w:tcPr>
          <w:p>
            <w:pPr>
              <w:spacing w:before="40" w:after="40"/>
              <w:rPr>
                <w:sz w:val="18"/>
              </w:rPr>
            </w:pPr>
            <w:r>
              <w:rPr>
                <w:sz w:val="18"/>
                <w:szCs w:val="18"/>
              </w:rPr>
              <w:t xml:space="preserve">Enlace privado a San Bernardo</w:t>
            </w:r>
          </w:p>
        </w:tc>
        <w:tc>
          <w:tcPr>
            <w:tcW w:w="3116" w:type="dxa"/>
            <w:vAlign w:val="top"/>
          </w:tcPr>
          <w:p>
            <w:pPr>
              <w:spacing w:before="40" w:after="40"/>
              <w:rPr>
                <w:sz w:val="18"/>
              </w:rPr>
            </w:pPr>
            <w:r>
              <w:rPr>
                <w:b/>
                <w:sz w:val="18"/>
                <w:szCs w:val="18"/>
              </w:rPr>
              <w:t xml:space="preserve">ExpressRoute</w:t>
            </w:r>
            <w:r>
              <w:rPr>
                <w:sz w:val="18"/>
                <w:szCs w:val="18"/>
              </w:rPr>
              <w:t xml:space="preserve"> + VPN S2S de respaldo, proveedores y caminos distintos</w:t>
            </w:r>
          </w:p>
        </w:tc>
        <w:tc>
          <w:tcPr>
            <w:tcW w:w="3116" w:type="dxa"/>
            <w:vAlign w:val="top"/>
          </w:tcPr>
          <w:p>
            <w:pPr>
              <w:spacing w:before="40" w:after="40"/>
              <w:rPr>
                <w:sz w:val="18"/>
              </w:rPr>
            </w:pPr>
            <w:r>
              <w:rPr>
                <w:sz w:val="18"/>
                <w:szCs w:val="18"/>
              </w:rPr>
              <w:t xml:space="preserve">RT-03.17, RT-03.21</w:t>
            </w:r>
          </w:p>
        </w:tc>
      </w:tr>
      <w:tr>
        <w:trPr>
          <w:cantSplit/>
        </w:trPr>
        <w:tc>
          <w:tcPr>
            <w:tcW w:w="3116" w:type="dxa"/>
            <w:vAlign w:val="top"/>
          </w:tcPr>
          <w:p>
            <w:pPr>
              <w:spacing w:before="40" w:after="40"/>
              <w:rPr>
                <w:sz w:val="18"/>
              </w:rPr>
            </w:pPr>
            <w:r>
              <w:rPr>
                <w:sz w:val="18"/>
                <w:szCs w:val="18"/>
              </w:rPr>
              <w:t xml:space="preserve">Recuperación ante desastres</w:t>
            </w:r>
          </w:p>
        </w:tc>
        <w:tc>
          <w:tcPr>
            <w:tcW w:w="3116" w:type="dxa"/>
            <w:vAlign w:val="top"/>
          </w:tcPr>
          <w:p>
            <w:pPr>
              <w:spacing w:before="40" w:after="40"/>
              <w:rPr>
                <w:sz w:val="18"/>
              </w:rPr>
            </w:pPr>
            <w:r>
              <w:rPr>
                <w:b/>
                <w:sz w:val="18"/>
                <w:szCs w:val="18"/>
              </w:rPr>
              <w:t xml:space="preserve">Segunda región Azure</w:t>
            </w:r>
            <w:r>
              <w:rPr>
                <w:sz w:val="18"/>
                <w:szCs w:val="18"/>
              </w:rPr>
              <w:t xml:space="preserve"> + Site Recovery + replicación geo</w:t>
            </w:r>
          </w:p>
        </w:tc>
        <w:tc>
          <w:tcPr>
            <w:tcW w:w="3116" w:type="dxa"/>
            <w:vAlign w:val="top"/>
          </w:tcPr>
          <w:p>
            <w:pPr>
              <w:spacing w:before="40" w:after="40"/>
              <w:rPr>
                <w:sz w:val="18"/>
              </w:rPr>
            </w:pPr>
            <w:r>
              <w:rPr>
                <w:sz w:val="18"/>
                <w:szCs w:val="18"/>
              </w:rPr>
              <w:t xml:space="preserve">Cap. 7, RT-07.02, RT-07.04</w:t>
            </w:r>
          </w:p>
        </w:tc>
      </w:tr>
    </w:tbl>
    <w:p>
      <w:pPr>
        <w:spacing w:before="0" w:after="100"/>
      </w:pPr>
    </w:p>
    <w:p>
      <w:pPr>
        <w:pStyle w:val="Heading3"/>
        <w:keepNext/>
        <w:spacing w:before="200" w:after="80"/>
      </w:pPr>
      <w:r>
        <w:t xml:space="preserve">5.8.3 Reversibilidad — no olvidarlo</w:t>
      </w:r>
    </w:p>
    <w:p>
      <w:pPr>
        <w:spacing w:before="0" w:after="140" w:line="264" w:lineRule="auto"/>
      </w:pPr>
      <w:r>
        <w:rPr>
          <w:b/>
        </w:rPr>
        <w:t xml:space="preserve">RT-03.07</w:t>
      </w:r>
      <w:r>
        <w:t xml:space="preserve"> (pág. 8/51) obliga a declarar la estrategia de reversibilidad y mitigación del bloqueo por proveedor, «identificando qué componentes son portables, cuáles no lo son y cuál sería el esfuerzo estimado de una migración». Proponer Azure sin esta declaración es una brecha. Contenedores y PostgreSQL son portables; IoT Hub, Event Hubs y Data Explorer no lo son sin reescritura. </w:t>
      </w:r>
      <w:r>
        <w:rPr>
          <w:b/>
        </w:rPr>
        <w:t xml:space="preserve">Hay que decirlo.</w:t>
      </w:r>
    </w:p>
    <w:p>
      <w:pPr>
        <w:pBdr>
          <w:bottom w:val="single" w:sz="6" w:space="1" w:color="C8D2DE"/>
        </w:pBdr>
        <w:spacing w:before="160" w:after="160"/>
      </w:pPr>
    </w:p>
    <w:p>
      <w:pPr>
        <w:pStyle w:val="Heading2"/>
        <w:keepNext/>
        <w:spacing w:before="260" w:after="100"/>
      </w:pPr>
      <w:r>
        <w:t xml:space="preserve">5.9 Data center secundario — aquí hay que corregir el plan</w:t>
      </w:r>
    </w:p>
    <w:p>
      <w:pPr>
        <w:pStyle w:val="Heading3"/>
        <w:keepNext/>
        <w:spacing w:before="200" w:after="80"/>
      </w:pPr>
      <w:r>
        <w:t xml:space="preserve">5.9.1 El problema con «San Bernardo como respaldo de Azure»</w:t>
      </w:r>
    </w:p>
    <w:p>
      <w:pPr>
        <w:spacing w:before="0" w:after="140" w:line="264" w:lineRule="auto"/>
      </w:pPr>
      <w:r>
        <w:rPr>
          <w:b/>
        </w:rPr>
        <w:t xml:space="preserve">RT-07.02</w:t>
      </w:r>
      <w:r>
        <w:t xml:space="preserve"> (pág. 17/51):</w:t>
      </w:r>
    </w:p>
    <w:p>
      <w:pPr>
        <w:shd w:val="clear" w:fill="F4F7FB"/>
        <w:pBdr>
          <w:left w:val="single" w:sz="18" w:space="8" w:color="9CC3F5"/>
        </w:pBdr>
        <w:ind w:left="200"/>
        <w:spacing w:before="100" w:after="140"/>
      </w:pPr>
      <w:r>
        <w:rPr>
          <w:sz w:val="21"/>
          <w:szCs w:val="21"/>
        </w:rPr>
        <w:t xml:space="preserve">«El sitio secundario estará emplazado a una </w:t>
      </w:r>
      <w:r>
        <w:rPr>
          <w:b/>
          <w:sz w:val="21"/>
          <w:szCs w:val="21"/>
        </w:rPr>
        <w:t xml:space="preserve">distancia suficiente del principal para no verse afectado por el mismo evento de fuerza mayor</w:t>
      </w:r>
      <w:r>
        <w:rPr>
          <w:sz w:val="21"/>
          <w:szCs w:val="21"/>
        </w:rPr>
        <w:t xml:space="preserve">. El PROPONENTE declarará la distancia y el análisis de amenazas comunes considerado.»</w:t>
      </w:r>
    </w:p>
    <w:p>
      <w:pPr>
        <w:spacing w:before="0" w:after="140" w:line="264" w:lineRule="auto"/>
      </w:pPr>
      <w:r>
        <w:t xml:space="preserve">Azure Chile Central está en Quilicura. San Bernardo está a ~20 km </w:t>
      </w:r>
      <w:r>
        <w:rPr>
          <w:b/>
        </w:rPr>
        <w:t xml:space="preserve">[?] — estimación geográfica, no medida; conviene medirla, aunque el argumento se sostiene sin la cifra</w:t>
      </w:r>
      <w:r>
        <w:t xml:space="preserve">, en la misma Región Metropolitana: </w:t>
      </w:r>
      <w:r>
        <w:rPr>
          <w:b/>
        </w:rPr>
        <w:t xml:space="preserve">misma cuenca sísmica, mismo sistema eléctrico regional, mismo evento de fuerza mayor</w:t>
      </w:r>
      <w:r>
        <w:t xml:space="preserve">. Como par de recuperación ante desastres </w:t>
      </w:r>
      <w:r>
        <w:rPr>
          <w:b/>
        </w:rPr>
        <w:t xml:space="preserve">no pasa RT-07.02</w:t>
      </w:r>
      <w:r>
        <w:t xml:space="preserve">, y el evaluador lo va a ver en la primera lectura.</w:t>
      </w:r>
    </w:p>
    <w:p>
      <w:pPr>
        <w:spacing w:before="0" w:after="140" w:line="264" w:lineRule="auto"/>
      </w:pPr>
      <w:r>
        <w:t xml:space="preserve">Además, Cap. 7 exige que el secundario tenga «características tecnológicas </w:t>
      </w:r>
      <w:r>
        <w:rPr>
          <w:b/>
        </w:rPr>
        <w:t xml:space="preserve">equivalentes a las del sitio principal</w:t>
      </w:r>
      <w:r>
        <w:t xml:space="preserve"> en lo que respecta a los servicios críticos». Una sala de 26 m² no es equivalente a una región de nube con tres zonas.</w:t>
      </w:r>
    </w:p>
    <w:p>
      <w:pPr>
        <w:pStyle w:val="Heading3"/>
        <w:keepNext/>
        <w:spacing w:before="200" w:after="80"/>
      </w:pPr>
      <w:r>
        <w:t xml:space="preserve">5.9.2 La corrección: dos ejes, no uno</w:t>
      </w:r>
    </w:p>
    <w:p>
      <w:pPr>
        <w:spacing w:before="0" w:after="140" w:line="264" w:lineRule="auto"/>
      </w:pPr>
      <w:r>
        <w:rPr>
          <w:b/>
        </w:rPr>
        <w:t xml:space="preserve">No hay un único par primario/secundario. Hay dos funciones distintas que se estaban mezclando: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Eje</w:t>
            </w:r>
          </w:p>
        </w:tc>
        <w:tc>
          <w:tcPr>
            <w:tcW w:w="2337" w:type="dxa"/>
            <w:shd w:val="clear" w:fill="EDF2F8"/>
            <w:vAlign w:val="top"/>
          </w:tcPr>
          <w:p>
            <w:pPr>
              <w:spacing w:before="40" w:after="40"/>
              <w:rPr>
                <w:sz w:val="18"/>
              </w:rPr>
            </w:pPr>
            <w:r>
              <w:rPr>
                <w:b/>
                <w:sz w:val="18"/>
                <w:szCs w:val="18"/>
              </w:rPr>
              <w:t xml:space="preserve">Primario</w:t>
            </w:r>
          </w:p>
        </w:tc>
        <w:tc>
          <w:tcPr>
            <w:tcW w:w="2337" w:type="dxa"/>
            <w:shd w:val="clear" w:fill="EDF2F8"/>
            <w:vAlign w:val="top"/>
          </w:tcPr>
          <w:p>
            <w:pPr>
              <w:spacing w:before="40" w:after="40"/>
              <w:rPr>
                <w:sz w:val="18"/>
              </w:rPr>
            </w:pPr>
            <w:r>
              <w:rPr>
                <w:b/>
                <w:sz w:val="18"/>
                <w:szCs w:val="18"/>
              </w:rPr>
              <w:t xml:space="preserve">Secundario</w:t>
            </w:r>
          </w:p>
        </w:tc>
        <w:tc>
          <w:tcPr>
            <w:tcW w:w="2337" w:type="dxa"/>
            <w:shd w:val="clear" w:fill="EDF2F8"/>
            <w:vAlign w:val="top"/>
          </w:tcPr>
          <w:p>
            <w:pPr>
              <w:spacing w:before="40" w:after="40"/>
              <w:rPr>
                <w:sz w:val="18"/>
              </w:rPr>
            </w:pPr>
            <w:r>
              <w:rPr>
                <w:b/>
                <w:sz w:val="18"/>
                <w:szCs w:val="18"/>
              </w:rPr>
              <w:t xml:space="preserve">Cumple</w:t>
            </w:r>
          </w:p>
        </w:tc>
      </w:tr>
      <w:tr>
        <w:trPr>
          <w:cantSplit/>
        </w:trPr>
        <w:tc>
          <w:tcPr>
            <w:tcW w:w="2337" w:type="dxa"/>
            <w:vAlign w:val="top"/>
          </w:tcPr>
          <w:p>
            <w:pPr>
              <w:spacing w:before="40" w:after="40"/>
              <w:rPr>
                <w:sz w:val="18"/>
              </w:rPr>
            </w:pPr>
            <w:r>
              <w:rPr>
                <w:b/>
                <w:sz w:val="18"/>
                <w:szCs w:val="18"/>
              </w:rPr>
              <w:t xml:space="preserve">Recuperación ante desastres</w:t>
            </w:r>
          </w:p>
        </w:tc>
        <w:tc>
          <w:tcPr>
            <w:tcW w:w="2337" w:type="dxa"/>
            <w:vAlign w:val="top"/>
          </w:tcPr>
          <w:p>
            <w:pPr>
              <w:spacing w:before="40" w:after="40"/>
              <w:rPr>
                <w:sz w:val="18"/>
              </w:rPr>
            </w:pPr>
            <w:r>
              <w:rPr>
                <w:sz w:val="18"/>
                <w:szCs w:val="18"/>
              </w:rPr>
              <w:t xml:space="preserve">Azure Chile Central, multi-AZ</w:t>
            </w:r>
          </w:p>
        </w:tc>
        <w:tc>
          <w:tcPr>
            <w:tcW w:w="2337" w:type="dxa"/>
            <w:vAlign w:val="top"/>
          </w:tcPr>
          <w:p>
            <w:pPr>
              <w:spacing w:before="40" w:after="40"/>
              <w:rPr>
                <w:sz w:val="18"/>
              </w:rPr>
            </w:pPr>
            <w:r>
              <w:rPr>
                <w:b/>
                <w:sz w:val="18"/>
                <w:szCs w:val="18"/>
              </w:rPr>
              <w:t xml:space="preserve">Segunda región Azure</w:t>
            </w:r>
            <w:r>
              <w:rPr>
                <w:sz w:val="18"/>
                <w:szCs w:val="18"/>
              </w:rPr>
              <w:t xml:space="preserve"> (par declarado por Microsoft), activo-pasivo con replicación continua</w:t>
            </w:r>
          </w:p>
        </w:tc>
        <w:tc>
          <w:tcPr>
            <w:tcW w:w="2337" w:type="dxa"/>
            <w:vAlign w:val="top"/>
          </w:tcPr>
          <w:p>
            <w:pPr>
              <w:spacing w:before="40" w:after="40"/>
              <w:rPr>
                <w:sz w:val="18"/>
              </w:rPr>
            </w:pPr>
            <w:r>
              <w:rPr>
                <w:sz w:val="18"/>
                <w:szCs w:val="18"/>
              </w:rPr>
              <w:t xml:space="preserve">RT-07.01 a RT-07.08 · RTO ≤ 4 h · RPO ≤ 15 min</w:t>
            </w:r>
          </w:p>
        </w:tc>
      </w:tr>
      <w:tr>
        <w:trPr>
          <w:cantSplit/>
        </w:trPr>
        <w:tc>
          <w:tcPr>
            <w:tcW w:w="2337" w:type="dxa"/>
            <w:vAlign w:val="top"/>
          </w:tcPr>
          <w:p>
            <w:pPr>
              <w:spacing w:before="40" w:after="40"/>
              <w:rPr>
                <w:sz w:val="18"/>
              </w:rPr>
            </w:pPr>
            <w:r>
              <w:rPr>
                <w:b/>
                <w:sz w:val="18"/>
                <w:szCs w:val="18"/>
              </w:rPr>
              <w:t xml:space="preserve">Continuidad operacional en el borde</w:t>
            </w:r>
          </w:p>
        </w:tc>
        <w:tc>
          <w:tcPr>
            <w:tcW w:w="2337" w:type="dxa"/>
            <w:vAlign w:val="top"/>
          </w:tcPr>
          <w:p>
            <w:pPr>
              <w:spacing w:before="40" w:after="40"/>
              <w:rPr>
                <w:sz w:val="18"/>
              </w:rPr>
            </w:pPr>
            <w:r>
              <w:rPr>
                <w:sz w:val="18"/>
                <w:szCs w:val="18"/>
              </w:rPr>
              <w:t xml:space="preserve">Azure</w:t>
            </w:r>
          </w:p>
        </w:tc>
        <w:tc>
          <w:tcPr>
            <w:tcW w:w="2337" w:type="dxa"/>
            <w:vAlign w:val="top"/>
          </w:tcPr>
          <w:p>
            <w:pPr>
              <w:spacing w:before="40" w:after="40"/>
              <w:rPr>
                <w:sz w:val="18"/>
              </w:rPr>
            </w:pPr>
            <w:r>
              <w:rPr>
                <w:b/>
                <w:sz w:val="18"/>
                <w:szCs w:val="18"/>
              </w:rPr>
              <w:t xml:space="preserve">San Bernardo</w:t>
            </w:r>
            <w:r>
              <w:rPr>
                <w:sz w:val="18"/>
                <w:szCs w:val="18"/>
              </w:rPr>
              <w:t xml:space="preserve">, sala técnica de sitio</w:t>
            </w:r>
          </w:p>
        </w:tc>
        <w:tc>
          <w:tcPr>
            <w:tcW w:w="2337" w:type="dxa"/>
            <w:vAlign w:val="top"/>
          </w:tcPr>
          <w:p>
            <w:pPr>
              <w:spacing w:before="40" w:after="40"/>
              <w:rPr>
                <w:sz w:val="18"/>
              </w:rPr>
            </w:pPr>
            <w:r>
              <w:rPr>
                <w:sz w:val="18"/>
                <w:szCs w:val="18"/>
              </w:rPr>
              <w:t xml:space="preserve">RT-03.10 · RT-21.06</w:t>
            </w:r>
          </w:p>
        </w:tc>
      </w:tr>
    </w:tbl>
    <w:p>
      <w:pPr>
        <w:spacing w:before="0" w:after="100"/>
      </w:pPr>
    </w:p>
    <w:p>
      <w:pPr>
        <w:spacing w:before="0" w:after="140" w:line="264" w:lineRule="auto"/>
      </w:pPr>
      <w:r>
        <w:rPr>
          <w:b/>
        </w:rPr>
        <w:t xml:space="preserve">San Bernardo no es el DR de la nube: es el nodo que mantiene viva la operación cuando el enlace cae.</w:t>
      </w:r>
      <w:r>
        <w:t xml:space="preserve"> Son cosas distintas y hay que escribirlas distinto. Con esa formulación tu plan se sostiene entero y además cumple RT-07.02.</w:t>
      </w:r>
    </w:p>
    <w:p>
      <w:pPr>
        <w:pStyle w:val="Heading3"/>
        <w:keepNext/>
        <w:spacing w:before="200" w:after="80"/>
      </w:pPr>
      <w:r>
        <w:t xml:space="preserve">5.9.3 Por qué San Bernardo tiene que existir igual</w:t>
      </w:r>
    </w:p>
    <w:p>
      <w:pPr>
        <w:spacing w:before="0" w:after="140" w:line="264" w:lineRule="auto"/>
      </w:pPr>
      <w:r>
        <w:rPr>
          <w:b/>
        </w:rPr>
        <w:t xml:space="preserve">RT-21.06</w:t>
      </w:r>
      <w:r>
        <w:t xml:space="preserve"> del Caso (pág. 34/49):</w:t>
      </w:r>
    </w:p>
    <w:p>
      <w:pPr>
        <w:shd w:val="clear" w:fill="F4F7FB"/>
        <w:pBdr>
          <w:left w:val="single" w:sz="18" w:space="8" w:color="9CC3F5"/>
        </w:pBdr>
        <w:ind w:left="200"/>
        <w:spacing w:before="100" w:after="140"/>
      </w:pPr>
      <w:r>
        <w:rPr>
          <w:sz w:val="21"/>
          <w:szCs w:val="21"/>
        </w:rPr>
        <w:t xml:space="preserve">«24x7x365 sin excepción. La flota rueda a toda hora y </w:t>
      </w:r>
      <w:r>
        <w:rPr>
          <w:b/>
          <w:sz w:val="21"/>
          <w:szCs w:val="21"/>
        </w:rPr>
        <w:t xml:space="preserve">todo incidente que impida asignar un viaje, emitir un documento de transporte o recibir un evento de emergencia se clasifica en la severidad máxima</w:t>
      </w:r>
      <w:r>
        <w:rPr>
          <w:sz w:val="21"/>
          <w:szCs w:val="21"/>
        </w:rPr>
        <w:t xml:space="preserve">.»</w:t>
      </w:r>
    </w:p>
    <w:p>
      <w:pPr>
        <w:spacing w:before="0" w:after="140" w:line="264" w:lineRule="auto"/>
      </w:pPr>
      <w:r>
        <w:t xml:space="preserve">Esas tres funciones no pueden depender del enlace a la nube. Ese es el argumento —verificable— de por qué San Bernardo no desaparece.</w:t>
      </w:r>
    </w:p>
    <w:p>
      <w:pPr>
        <w:pStyle w:val="Heading3"/>
        <w:keepNext/>
        <w:spacing w:before="200" w:after="80"/>
      </w:pPr>
      <w:r>
        <w:t xml:space="preserve">5.9.4 La tipología: la regla que legitima el enfoque</w:t>
      </w:r>
    </w:p>
    <w:p>
      <w:pPr>
        <w:spacing w:before="0" w:after="140" w:line="264" w:lineRule="auto"/>
      </w:pPr>
      <w:r>
        <w:rPr>
          <w:b/>
        </w:rPr>
        <w:t xml:space="preserve">Numeral 6.1 transversal (pág. 14/51)</w:t>
      </w:r>
      <w:r>
        <w:t xml:space="preserve"> define tres tipologías y ordena elegir una: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Tipología</w:t>
            </w:r>
          </w:p>
        </w:tc>
        <w:tc>
          <w:tcPr>
            <w:tcW w:w="3116" w:type="dxa"/>
            <w:shd w:val="clear" w:fill="EDF2F8"/>
            <w:vAlign w:val="top"/>
          </w:tcPr>
          <w:p>
            <w:pPr>
              <w:spacing w:before="40" w:after="40"/>
              <w:rPr>
                <w:sz w:val="18"/>
              </w:rPr>
            </w:pPr>
            <w:r>
              <w:rPr>
                <w:b/>
                <w:sz w:val="18"/>
                <w:szCs w:val="18"/>
              </w:rPr>
              <w:t xml:space="preserve">Cuándo aplica</w:t>
            </w:r>
          </w:p>
        </w:tc>
        <w:tc>
          <w:tcPr>
            <w:tcW w:w="3116" w:type="dxa"/>
            <w:shd w:val="clear" w:fill="EDF2F8"/>
            <w:vAlign w:val="top"/>
          </w:tcPr>
          <w:p>
            <w:pPr>
              <w:spacing w:before="40" w:after="40"/>
              <w:rPr>
                <w:sz w:val="18"/>
              </w:rPr>
            </w:pPr>
            <w:r>
              <w:rPr>
                <w:b/>
                <w:sz w:val="18"/>
                <w:szCs w:val="18"/>
              </w:rPr>
              <w:t xml:space="preserve">Qué requisitos se aplican</w:t>
            </w:r>
          </w:p>
        </w:tc>
      </w:tr>
      <w:tr>
        <w:trPr>
          <w:cantSplit/>
        </w:trPr>
        <w:tc>
          <w:tcPr>
            <w:tcW w:w="3116" w:type="dxa"/>
            <w:vAlign w:val="top"/>
          </w:tcPr>
          <w:p>
            <w:pPr>
              <w:spacing w:before="40" w:after="40"/>
              <w:rPr>
                <w:sz w:val="18"/>
              </w:rPr>
            </w:pPr>
            <w:r>
              <w:rPr>
                <w:b/>
                <w:sz w:val="18"/>
                <w:szCs w:val="18"/>
              </w:rPr>
              <w:t xml:space="preserve">Sala técnica principal</w:t>
            </w:r>
          </w:p>
        </w:tc>
        <w:tc>
          <w:tcPr>
            <w:tcW w:w="3116" w:type="dxa"/>
            <w:vAlign w:val="top"/>
          </w:tcPr>
          <w:p>
            <w:pPr>
              <w:spacing w:before="40" w:after="40"/>
              <w:rPr>
                <w:sz w:val="18"/>
              </w:rPr>
            </w:pPr>
            <w:r>
              <w:rPr>
                <w:sz w:val="18"/>
                <w:szCs w:val="18"/>
              </w:rPr>
              <w:t xml:space="preserve">«El caso requiere cómputo, almacenamiento y procesamiento </w:t>
            </w:r>
            <w:r>
              <w:rPr>
                <w:b/>
                <w:sz w:val="18"/>
                <w:szCs w:val="18"/>
              </w:rPr>
              <w:t xml:space="preserve">sustantivos</w:t>
            </w:r>
            <w:r>
              <w:rPr>
                <w:sz w:val="18"/>
                <w:szCs w:val="18"/>
              </w:rPr>
              <w:t xml:space="preserve"> en las instalaciones del CLIENTE»</w:t>
            </w:r>
          </w:p>
        </w:tc>
        <w:tc>
          <w:tcPr>
            <w:tcW w:w="3116" w:type="dxa"/>
            <w:vAlign w:val="top"/>
          </w:tcPr>
          <w:p>
            <w:pPr>
              <w:spacing w:before="40" w:after="40"/>
              <w:rPr>
                <w:sz w:val="18"/>
              </w:rPr>
            </w:pPr>
            <w:r>
              <w:rPr>
                <w:b/>
                <w:sz w:val="18"/>
                <w:szCs w:val="18"/>
              </w:rPr>
              <w:t xml:space="preserve">RT-06.01 a RT-06.24 íntegramente</w:t>
            </w:r>
          </w:p>
        </w:tc>
      </w:tr>
      <w:tr>
        <w:trPr>
          <w:cantSplit/>
        </w:trPr>
        <w:tc>
          <w:tcPr>
            <w:tcW w:w="3116" w:type="dxa"/>
            <w:vAlign w:val="top"/>
          </w:tcPr>
          <w:p>
            <w:pPr>
              <w:spacing w:before="40" w:after="40"/>
              <w:rPr>
                <w:sz w:val="18"/>
              </w:rPr>
            </w:pPr>
            <w:r>
              <w:rPr>
                <w:b/>
                <w:sz w:val="18"/>
                <w:szCs w:val="18"/>
              </w:rPr>
              <w:t xml:space="preserve">Sala técnica secundaria o de sitio</w:t>
            </w:r>
          </w:p>
        </w:tc>
        <w:tc>
          <w:tcPr>
            <w:tcW w:w="3116" w:type="dxa"/>
            <w:vAlign w:val="top"/>
          </w:tcPr>
          <w:p>
            <w:pPr>
              <w:spacing w:before="40" w:after="40"/>
              <w:rPr>
                <w:sz w:val="18"/>
              </w:rPr>
            </w:pPr>
            <w:r>
              <w:rPr>
                <w:sz w:val="18"/>
                <w:szCs w:val="18"/>
              </w:rPr>
              <w:t xml:space="preserve">«Sitios operacionales que requieren cómputo local para continuidad, pero </w:t>
            </w:r>
            <w:r>
              <w:rPr>
                <w:b/>
                <w:sz w:val="18"/>
                <w:szCs w:val="18"/>
              </w:rPr>
              <w:t xml:space="preserve">no albergan el núcleo</w:t>
            </w:r>
            <w:r>
              <w:rPr>
                <w:sz w:val="18"/>
                <w:szCs w:val="18"/>
              </w:rPr>
              <w:t xml:space="preserve">»</w:t>
            </w:r>
          </w:p>
        </w:tc>
        <w:tc>
          <w:tcPr>
            <w:tcW w:w="3116" w:type="dxa"/>
            <w:vAlign w:val="top"/>
          </w:tcPr>
          <w:p>
            <w:pPr>
              <w:spacing w:before="40" w:after="40"/>
              <w:rPr>
                <w:sz w:val="18"/>
              </w:rPr>
            </w:pPr>
            <w:r>
              <w:rPr>
                <w:sz w:val="18"/>
                <w:szCs w:val="18"/>
              </w:rPr>
              <w:t xml:space="preserve">Energía, climatización, control de acceso, detección de incendio y monitoreo, </w:t>
            </w:r>
            <w:r>
              <w:rPr>
                <w:b/>
                <w:sz w:val="18"/>
                <w:szCs w:val="18"/>
              </w:rPr>
              <w:t xml:space="preserve">dimensionados al sitio</w:t>
            </w:r>
          </w:p>
        </w:tc>
      </w:tr>
      <w:tr>
        <w:trPr>
          <w:cantSplit/>
        </w:trPr>
        <w:tc>
          <w:tcPr>
            <w:tcW w:w="3116" w:type="dxa"/>
            <w:vAlign w:val="top"/>
          </w:tcPr>
          <w:p>
            <w:pPr>
              <w:spacing w:before="40" w:after="40"/>
              <w:rPr>
                <w:sz w:val="18"/>
              </w:rPr>
            </w:pPr>
            <w:r>
              <w:rPr>
                <w:b/>
                <w:sz w:val="18"/>
                <w:szCs w:val="18"/>
              </w:rPr>
              <w:t xml:space="preserve">Gabinete o borde operacional</w:t>
            </w:r>
          </w:p>
        </w:tc>
        <w:tc>
          <w:tcPr>
            <w:tcW w:w="3116" w:type="dxa"/>
            <w:vAlign w:val="top"/>
          </w:tcPr>
          <w:p>
            <w:pPr>
              <w:spacing w:before="40" w:after="40"/>
              <w:rPr>
                <w:sz w:val="18"/>
              </w:rPr>
            </w:pPr>
            <w:r>
              <w:rPr>
                <w:sz w:val="18"/>
                <w:szCs w:val="18"/>
              </w:rPr>
              <w:t xml:space="preserve">«Puntos de operación con equipamiento mínimo»</w:t>
            </w:r>
          </w:p>
        </w:tc>
        <w:tc>
          <w:tcPr>
            <w:tcW w:w="3116" w:type="dxa"/>
            <w:vAlign w:val="top"/>
          </w:tcPr>
          <w:p>
            <w:pPr>
              <w:spacing w:before="40" w:after="40"/>
              <w:rPr>
                <w:sz w:val="18"/>
              </w:rPr>
            </w:pPr>
            <w:r>
              <w:rPr>
                <w:sz w:val="18"/>
                <w:szCs w:val="18"/>
              </w:rPr>
              <w:t xml:space="preserve">Protección eléctrica, control de acceso físico, monitoreo remoto y condiciones ambientales del equipo</w:t>
            </w:r>
          </w:p>
        </w:tc>
      </w:tr>
    </w:tbl>
    <w:p>
      <w:pPr>
        <w:spacing w:before="0" w:after="100"/>
      </w:pPr>
    </w:p>
    <w:p>
      <w:pPr>
        <w:spacing w:before="0" w:after="140" w:line="264" w:lineRule="auto"/>
      </w:pPr>
      <w:r>
        <w:t xml:space="preserve">Y remata:</w:t>
      </w:r>
    </w:p>
    <w:p>
      <w:pPr>
        <w:shd w:val="clear" w:fill="F4F7FB"/>
        <w:pBdr>
          <w:left w:val="single" w:sz="18" w:space="8" w:color="9CC3F5"/>
        </w:pBdr>
        <w:ind w:left="200"/>
        <w:spacing w:before="100" w:after="140"/>
      </w:pPr>
      <w:r>
        <w:rPr>
          <w:sz w:val="21"/>
          <w:szCs w:val="21"/>
        </w:rPr>
        <w:t xml:space="preserve">«El PROPONENTE deberá </w:t>
      </w:r>
      <w:r>
        <w:rPr>
          <w:b/>
          <w:sz w:val="21"/>
          <w:szCs w:val="21"/>
        </w:rPr>
        <w:t xml:space="preserve">declarar expresamente qué tipología adopta en cada sitio</w:t>
      </w:r>
      <w:r>
        <w:rPr>
          <w:sz w:val="21"/>
          <w:szCs w:val="21"/>
        </w:rPr>
        <w:t xml:space="preserve"> del caso y justificar el dimensionamiento. </w:t>
      </w:r>
      <w:r>
        <w:rPr>
          <w:b/>
          <w:sz w:val="21"/>
          <w:szCs w:val="21"/>
        </w:rPr>
        <w:t xml:space="preserve">Sobredimensionar el recinto es tan penalizado como subdimensionarlo</w:t>
      </w:r>
      <w:r>
        <w:rPr>
          <w:sz w:val="21"/>
          <w:szCs w:val="21"/>
        </w:rPr>
        <w:t xml:space="preserve">: ambos revelan que el cálculo de capacidad no se hizo.»</w:t>
      </w:r>
    </w:p>
    <w:p>
      <w:pPr>
        <w:spacing w:before="0" w:after="140" w:line="264" w:lineRule="auto"/>
      </w:pPr>
      <w:r>
        <w:rPr>
          <w:b/>
        </w:rPr>
        <w:t xml:space="preserve">Nuestra declaración:</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Sitio</w:t>
            </w:r>
          </w:p>
        </w:tc>
        <w:tc>
          <w:tcPr>
            <w:tcW w:w="3116" w:type="dxa"/>
            <w:shd w:val="clear" w:fill="EDF2F8"/>
            <w:vAlign w:val="top"/>
          </w:tcPr>
          <w:p>
            <w:pPr>
              <w:spacing w:before="40" w:after="40"/>
              <w:rPr>
                <w:sz w:val="18"/>
              </w:rPr>
            </w:pPr>
            <w:r>
              <w:rPr>
                <w:b/>
                <w:sz w:val="18"/>
                <w:szCs w:val="18"/>
              </w:rPr>
              <w:t xml:space="preserve">Tipología declarada</w:t>
            </w:r>
          </w:p>
        </w:tc>
        <w:tc>
          <w:tcPr>
            <w:tcW w:w="3116" w:type="dxa"/>
            <w:shd w:val="clear" w:fill="EDF2F8"/>
            <w:vAlign w:val="top"/>
          </w:tcPr>
          <w:p>
            <w:pPr>
              <w:spacing w:before="40" w:after="40"/>
              <w:rPr>
                <w:sz w:val="18"/>
              </w:rPr>
            </w:pPr>
            <w:r>
              <w:rPr>
                <w:b/>
                <w:sz w:val="18"/>
                <w:szCs w:val="18"/>
              </w:rPr>
              <w:t xml:space="preserve">Justificación</w:t>
            </w:r>
          </w:p>
        </w:tc>
      </w:tr>
      <w:tr>
        <w:trPr>
          <w:cantSplit/>
        </w:trPr>
        <w:tc>
          <w:tcPr>
            <w:tcW w:w="3116" w:type="dxa"/>
            <w:vAlign w:val="top"/>
          </w:tcPr>
          <w:p>
            <w:pPr>
              <w:spacing w:before="40" w:after="40"/>
              <w:rPr>
                <w:sz w:val="18"/>
              </w:rPr>
            </w:pPr>
            <w:r>
              <w:rPr>
                <w:sz w:val="18"/>
                <w:szCs w:val="18"/>
              </w:rPr>
              <w:t xml:space="preserve">San Bernardo (26 m²)</w:t>
            </w:r>
          </w:p>
        </w:tc>
        <w:tc>
          <w:tcPr>
            <w:tcW w:w="3116" w:type="dxa"/>
            <w:vAlign w:val="top"/>
          </w:tcPr>
          <w:p>
            <w:pPr>
              <w:spacing w:before="40" w:after="40"/>
              <w:rPr>
                <w:sz w:val="18"/>
              </w:rPr>
            </w:pPr>
            <w:r>
              <w:rPr>
                <w:b/>
                <w:sz w:val="18"/>
                <w:szCs w:val="18"/>
              </w:rPr>
              <w:t xml:space="preserve">Sala técnica secundaria o de sitio</w:t>
            </w:r>
          </w:p>
        </w:tc>
        <w:tc>
          <w:tcPr>
            <w:tcW w:w="3116" w:type="dxa"/>
            <w:vAlign w:val="top"/>
          </w:tcPr>
          <w:p>
            <w:pPr>
              <w:spacing w:before="40" w:after="40"/>
              <w:rPr>
                <w:sz w:val="18"/>
              </w:rPr>
            </w:pPr>
            <w:r>
              <w:rPr>
                <w:sz w:val="18"/>
                <w:szCs w:val="18"/>
              </w:rPr>
              <w:t xml:space="preserve">El núcleo está en nube; aquí queda cómputo de continuidad para la torre 24×7, terminación de enlaces y custodia de medios</w:t>
            </w:r>
          </w:p>
        </w:tc>
      </w:tr>
      <w:tr>
        <w:trPr>
          <w:cantSplit/>
        </w:trPr>
        <w:tc>
          <w:tcPr>
            <w:tcW w:w="3116" w:type="dxa"/>
            <w:vAlign w:val="top"/>
          </w:tcPr>
          <w:p>
            <w:pPr>
              <w:spacing w:before="40" w:after="40"/>
              <w:rPr>
                <w:sz w:val="18"/>
              </w:rPr>
            </w:pPr>
            <w:r>
              <w:rPr>
                <w:sz w:val="18"/>
                <w:szCs w:val="18"/>
              </w:rPr>
              <w:t xml:space="preserve">4 terminales regionales</w:t>
            </w:r>
          </w:p>
        </w:tc>
        <w:tc>
          <w:tcPr>
            <w:tcW w:w="3116" w:type="dxa"/>
            <w:vAlign w:val="top"/>
          </w:tcPr>
          <w:p>
            <w:pPr>
              <w:spacing w:before="40" w:after="40"/>
              <w:rPr>
                <w:sz w:val="18"/>
              </w:rPr>
            </w:pPr>
            <w:r>
              <w:rPr>
                <w:b/>
                <w:sz w:val="18"/>
                <w:szCs w:val="18"/>
              </w:rPr>
              <w:t xml:space="preserve">Gabinete o borde operacional</w:t>
            </w:r>
          </w:p>
        </w:tc>
        <w:tc>
          <w:tcPr>
            <w:tcW w:w="3116" w:type="dxa"/>
            <w:vAlign w:val="top"/>
          </w:tcPr>
          <w:p>
            <w:pPr>
              <w:spacing w:before="40" w:after="40"/>
              <w:rPr>
                <w:sz w:val="18"/>
              </w:rPr>
            </w:pPr>
            <w:r>
              <w:rPr>
                <w:sz w:val="18"/>
                <w:szCs w:val="18"/>
              </w:rPr>
              <w:t xml:space="preserve">RT-06.01 del Caso: «Gabinete en cada terminal regional dimensionado para RT-03.10»</w:t>
            </w:r>
          </w:p>
        </w:tc>
      </w:tr>
      <w:tr>
        <w:trPr>
          <w:cantSplit/>
        </w:trPr>
        <w:tc>
          <w:tcPr>
            <w:tcW w:w="3116" w:type="dxa"/>
            <w:vAlign w:val="top"/>
          </w:tcPr>
          <w:p>
            <w:pPr>
              <w:spacing w:before="40" w:after="40"/>
              <w:rPr>
                <w:sz w:val="18"/>
              </w:rPr>
            </w:pPr>
            <w:r>
              <w:rPr>
                <w:sz w:val="18"/>
                <w:szCs w:val="18"/>
              </w:rPr>
              <w:t xml:space="preserve">374 camiones</w:t>
            </w:r>
          </w:p>
        </w:tc>
        <w:tc>
          <w:tcPr>
            <w:tcW w:w="3116" w:type="dxa"/>
            <w:vAlign w:val="top"/>
          </w:tcPr>
          <w:p>
            <w:pPr>
              <w:spacing w:before="40" w:after="40"/>
              <w:rPr>
                <w:sz w:val="18"/>
              </w:rPr>
            </w:pPr>
            <w:r>
              <w:rPr>
                <w:b/>
                <w:sz w:val="18"/>
                <w:szCs w:val="18"/>
              </w:rPr>
              <w:t xml:space="preserve">On-premise distribuido</w:t>
            </w:r>
          </w:p>
        </w:tc>
        <w:tc>
          <w:tcPr>
            <w:tcW w:w="3116" w:type="dxa"/>
            <w:vAlign w:val="top"/>
          </w:tcPr>
          <w:p>
            <w:pPr>
              <w:spacing w:before="40" w:after="40"/>
              <w:rPr>
                <w:sz w:val="18"/>
              </w:rPr>
            </w:pPr>
            <w:r>
              <w:rPr>
                <w:sz w:val="18"/>
                <w:szCs w:val="18"/>
              </w:rPr>
              <w:t xml:space="preserve">RT-06.01 del Caso, texto expreso</w:t>
            </w:r>
          </w:p>
        </w:tc>
      </w:tr>
    </w:tbl>
    <w:p>
      <w:pPr>
        <w:spacing w:before="0" w:after="100"/>
      </w:pPr>
    </w:p>
    <w:p>
      <w:pPr>
        <w:shd w:val="clear" w:fill="FDF3F3"/>
        <w:pBdr>
          <w:left w:val="single" w:sz="18" w:space="8" w:color="D98A8A"/>
        </w:pBdr>
        <w:ind w:left="200"/>
        <w:spacing w:before="100" w:after="140"/>
      </w:pPr>
      <w:r>
        <w:rPr>
          <w:sz w:val="21"/>
          <w:szCs w:val="21"/>
        </w:rPr>
        <w:t xml:space="preserve">⚠ </w:t>
      </w:r>
      <w:r>
        <w:rPr>
          <w:b/>
          <w:sz w:val="21"/>
          <w:szCs w:val="21"/>
        </w:rPr>
        <w:t xml:space="preserve">Aquí está la consulta más importante de D4.</w:t>
      </w:r>
      <w:r>
        <w:rPr>
          <w:sz w:val="21"/>
          <w:szCs w:val="21"/>
        </w:rPr>
        <w:t xml:space="preserve"> RT-06.01 del </w:t>
      </w:r>
      <w:r>
        <w:rPr>
          <w:b/>
          <w:sz w:val="21"/>
          <w:szCs w:val="21"/>
        </w:rPr>
        <w:t xml:space="preserve">Caso</w:t>
      </w:r>
      <w:r>
        <w:rPr>
          <w:sz w:val="21"/>
          <w:szCs w:val="21"/>
        </w:rPr>
        <w:t xml:space="preserve"> (pág. 32/49) ordena que la sala de San Bernardo «debe remediarse o reemplazarse </w:t>
      </w:r>
      <w:r>
        <w:rPr>
          <w:b/>
          <w:sz w:val="21"/>
          <w:szCs w:val="21"/>
        </w:rPr>
        <w:t xml:space="preserve">por no cumplir el Capítulo 6 del documento transversal</w:t>
      </w:r>
      <w:r>
        <w:rPr>
          <w:sz w:val="21"/>
          <w:szCs w:val="21"/>
        </w:rPr>
        <w:t xml:space="preserve">» — sin decir a qué tipología debe llevarse. Si el CLIENTE entiende «llevarla al estándar íntegro de sala principal», el costo se multiplica y contradice el numeral 6.1, que prohíbe sobredimensionar. </w:t>
      </w:r>
      <w:r>
        <w:rPr>
          <w:b/>
          <w:sz w:val="21"/>
          <w:szCs w:val="21"/>
        </w:rPr>
        <w:t xml:space="preserve">Hay que preguntarlo antes del 01-09.</w:t>
      </w:r>
    </w:p>
    <w:p>
      <w:pPr>
        <w:shd w:val="clear" w:fill="FDF3F3"/>
        <w:pBdr>
          <w:left w:val="single" w:sz="18" w:space="8" w:color="D98A8A"/>
        </w:pBdr>
        <w:ind w:left="200"/>
        <w:spacing w:before="100" w:after="140"/>
      </w:pPr>
      <w:r>
        <w:rPr>
          <w:sz w:val="21"/>
          <w:szCs w:val="21"/>
        </w:rPr>
        <w:t xml:space="preserve">⚠ </w:t>
      </w:r>
      <w:r>
        <w:rPr>
          <w:b/>
          <w:sz w:val="21"/>
          <w:szCs w:val="21"/>
        </w:rPr>
        <w:t xml:space="preserve">Corrección de dato:</w:t>
      </w:r>
      <w:r>
        <w:rPr>
          <w:sz w:val="21"/>
          <w:szCs w:val="21"/>
        </w:rPr>
        <w:t xml:space="preserve"> la sala es de </w:t>
      </w:r>
      <w:r>
        <w:rPr>
          <w:b/>
          <w:sz w:val="21"/>
          <w:szCs w:val="21"/>
        </w:rPr>
        <w:t xml:space="preserve">26 m²</w:t>
      </w:r>
      <w:r>
        <w:rPr>
          <w:sz w:val="21"/>
          <w:szCs w:val="21"/>
        </w:rPr>
        <w:t xml:space="preserve">, no 23. Cap. 6 del Caso, pág. 13/49, y RT-06.01, pág. 32/49. Si el informe dice 23 m², es un error verificable contra el documento.</w:t>
      </w:r>
    </w:p>
    <w:p>
      <w:pPr>
        <w:pStyle w:val="Heading3"/>
        <w:keepNext/>
        <w:spacing w:before="200" w:after="80"/>
      </w:pPr>
      <w:r>
        <w:t xml:space="preserve">5.9.5 Especificación de San Bernardo</w:t>
      </w:r>
    </w:p>
    <w:p>
      <w:pPr>
        <w:spacing w:before="0" w:after="140" w:line="264" w:lineRule="auto"/>
      </w:pPr>
      <w:r>
        <w:rPr>
          <w:b/>
        </w:rPr>
        <w:t xml:space="preserve">Brecha actual</w:t>
      </w:r>
      <w:r>
        <w:t xml:space="preserve"> (Cap. 6 del Caso, pág. 13/49): 26 m², habilitada en 2013, climatización tipo split, alimentación ininterrumpida de 20 minutos, acceso por credencial. El caso declara expresamente que </w:t>
      </w:r>
      <w:r>
        <w:rPr>
          <w:b/>
        </w:rPr>
        <w:t xml:space="preserve">no cumple</w:t>
      </w:r>
      <w:r>
        <w:t xml:space="preserve"> el Cap. 6 transversal.</w:t>
      </w:r>
    </w:p>
    <w:p>
      <w:pPr>
        <w:spacing w:before="0" w:after="140" w:line="264" w:lineRule="auto"/>
      </w:pPr>
      <w:r>
        <w:rPr>
          <w:b/>
        </w:rPr>
        <w:t xml:space="preserve">Qué queda alojado ahí</w:t>
      </w:r>
      <w:r>
        <w:t xml:space="preserve"> (y solo esto — el dimensionamiento se justifica por esta lista):</w:t>
      </w:r>
    </w:p>
    <w:p>
      <w:pPr>
        <w:ind w:left="340"/>
        <w:spacing w:before="20" w:after="60"/>
      </w:pPr>
      <w:r>
        <w:t xml:space="preserve">1.  </w:t>
      </w:r>
      <w:r>
        <w:t xml:space="preserve">Cómputo de continuidad de las tres funciones de severidad máxima de RT-21.06.</w:t>
      </w:r>
    </w:p>
    <w:p>
      <w:pPr>
        <w:ind w:left="340"/>
        <w:spacing w:before="20" w:after="60"/>
      </w:pPr>
      <w:r>
        <w:t xml:space="preserve">2.  </w:t>
      </w:r>
      <w:r>
        <w:t xml:space="preserve">Terminación de enlaces y borde de red hacia Azure.</w:t>
      </w:r>
    </w:p>
    <w:p>
      <w:pPr>
        <w:ind w:left="340"/>
        <w:spacing w:before="20" w:after="60"/>
      </w:pPr>
      <w:r>
        <w:t xml:space="preserve">3.  </w:t>
      </w:r>
      <w:r>
        <w:t xml:space="preserve">Custodia de medios de respaldo.</w:t>
      </w:r>
    </w:p>
    <w:p>
      <w:pPr>
        <w:spacing w:before="0" w:after="140" w:line="264" w:lineRule="auto"/>
      </w:pPr>
      <w:r>
        <w:rPr>
          <w:b/>
        </w:rPr>
        <w:t xml:space="preserve">Especificación de hardware:</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Elemento</w:t>
            </w:r>
          </w:p>
        </w:tc>
        <w:tc>
          <w:tcPr>
            <w:tcW w:w="3116" w:type="dxa"/>
            <w:shd w:val="clear" w:fill="EDF2F8"/>
            <w:vAlign w:val="top"/>
          </w:tcPr>
          <w:p>
            <w:pPr>
              <w:spacing w:before="40" w:after="40"/>
              <w:rPr>
                <w:sz w:val="18"/>
              </w:rPr>
            </w:pPr>
            <w:r>
              <w:rPr>
                <w:b/>
                <w:sz w:val="18"/>
                <w:szCs w:val="18"/>
              </w:rPr>
              <w:t xml:space="preserve">Especificación</w:t>
            </w:r>
          </w:p>
        </w:tc>
        <w:tc>
          <w:tcPr>
            <w:tcW w:w="3116" w:type="dxa"/>
            <w:shd w:val="clear" w:fill="EDF2F8"/>
            <w:vAlign w:val="top"/>
          </w:tcPr>
          <w:p>
            <w:pPr>
              <w:spacing w:before="40" w:after="40"/>
              <w:rPr>
                <w:sz w:val="18"/>
              </w:rPr>
            </w:pPr>
            <w:r>
              <w:rPr>
                <w:b/>
                <w:sz w:val="18"/>
                <w:szCs w:val="18"/>
              </w:rPr>
              <w:t xml:space="preserve">Requisito</w:t>
            </w:r>
          </w:p>
        </w:tc>
      </w:tr>
      <w:tr>
        <w:trPr>
          <w:cantSplit/>
        </w:trPr>
        <w:tc>
          <w:tcPr>
            <w:tcW w:w="3116" w:type="dxa"/>
            <w:vAlign w:val="top"/>
          </w:tcPr>
          <w:p>
            <w:pPr>
              <w:spacing w:before="40" w:after="40"/>
              <w:rPr>
                <w:sz w:val="18"/>
              </w:rPr>
            </w:pPr>
            <w:r>
              <w:rPr>
                <w:sz w:val="18"/>
                <w:szCs w:val="18"/>
              </w:rPr>
              <w:t xml:space="preserve">Cómputo</w:t>
            </w:r>
          </w:p>
        </w:tc>
        <w:tc>
          <w:tcPr>
            <w:tcW w:w="3116" w:type="dxa"/>
            <w:vAlign w:val="top"/>
          </w:tcPr>
          <w:p>
            <w:pPr>
              <w:spacing w:before="40" w:after="40"/>
              <w:rPr>
                <w:sz w:val="18"/>
              </w:rPr>
            </w:pPr>
            <w:r>
              <w:rPr>
                <w:sz w:val="18"/>
                <w:szCs w:val="18"/>
              </w:rPr>
              <w:t xml:space="preserve">2 servidores de rack 2U en clúster de 2 nodos + testigo, </w:t>
            </w:r>
            <w:r>
              <w:rPr>
                <w:b/>
                <w:sz w:val="18"/>
                <w:szCs w:val="18"/>
              </w:rPr>
              <w:t xml:space="preserve">fuentes redundantes a circuitos eléctricos distintos</w:t>
            </w:r>
          </w:p>
        </w:tc>
        <w:tc>
          <w:tcPr>
            <w:tcW w:w="3116" w:type="dxa"/>
            <w:vAlign w:val="top"/>
          </w:tcPr>
          <w:p>
            <w:pPr>
              <w:spacing w:before="40" w:after="40"/>
              <w:rPr>
                <w:sz w:val="18"/>
              </w:rPr>
            </w:pPr>
            <w:r>
              <w:rPr>
                <w:sz w:val="18"/>
                <w:szCs w:val="18"/>
              </w:rPr>
              <w:t xml:space="preserve">RT-03.14, RT-08.04</w:t>
            </w:r>
          </w:p>
        </w:tc>
      </w:tr>
      <w:tr>
        <w:trPr>
          <w:cantSplit/>
        </w:trPr>
        <w:tc>
          <w:tcPr>
            <w:tcW w:w="3116" w:type="dxa"/>
            <w:vAlign w:val="top"/>
          </w:tcPr>
          <w:p>
            <w:pPr>
              <w:spacing w:before="40" w:after="40"/>
              <w:rPr>
                <w:sz w:val="18"/>
              </w:rPr>
            </w:pPr>
            <w:r>
              <w:rPr>
                <w:sz w:val="18"/>
                <w:szCs w:val="18"/>
              </w:rPr>
              <w:t xml:space="preserve">Almacenamiento</w:t>
            </w:r>
          </w:p>
        </w:tc>
        <w:tc>
          <w:tcPr>
            <w:tcW w:w="3116" w:type="dxa"/>
            <w:vAlign w:val="top"/>
          </w:tcPr>
          <w:p>
            <w:pPr>
              <w:spacing w:before="40" w:after="40"/>
              <w:rPr>
                <w:sz w:val="18"/>
              </w:rPr>
            </w:pPr>
            <w:r>
              <w:rPr>
                <w:sz w:val="18"/>
                <w:szCs w:val="18"/>
              </w:rPr>
              <w:t xml:space="preserve">Redundante, tolerante a la falla de al menos un disco, </w:t>
            </w:r>
            <w:r>
              <w:rPr>
                <w:b/>
                <w:sz w:val="18"/>
                <w:szCs w:val="18"/>
              </w:rPr>
              <w:t xml:space="preserve">con nivel RAID declarado y justificado frente a alternativas</w:t>
            </w:r>
            <w:r>
              <w:rPr>
                <w:sz w:val="18"/>
                <w:szCs w:val="18"/>
              </w:rPr>
              <w:t xml:space="preserve">, control de errores y monitoreo predictivo de salud</w:t>
            </w:r>
          </w:p>
        </w:tc>
        <w:tc>
          <w:tcPr>
            <w:tcW w:w="3116" w:type="dxa"/>
            <w:vAlign w:val="top"/>
          </w:tcPr>
          <w:p>
            <w:pPr>
              <w:spacing w:before="40" w:after="40"/>
              <w:rPr>
                <w:sz w:val="18"/>
              </w:rPr>
            </w:pPr>
            <w:r>
              <w:rPr>
                <w:b/>
                <w:sz w:val="18"/>
                <w:szCs w:val="18"/>
              </w:rPr>
              <w:t xml:space="preserve">RT-03.14, RT-08.02</w:t>
            </w:r>
          </w:p>
        </w:tc>
      </w:tr>
      <w:tr>
        <w:trPr>
          <w:cantSplit/>
        </w:trPr>
        <w:tc>
          <w:tcPr>
            <w:tcW w:w="3116" w:type="dxa"/>
            <w:vAlign w:val="top"/>
          </w:tcPr>
          <w:p>
            <w:pPr>
              <w:spacing w:before="40" w:after="40"/>
              <w:rPr>
                <w:sz w:val="18"/>
              </w:rPr>
            </w:pPr>
            <w:r>
              <w:rPr>
                <w:sz w:val="18"/>
                <w:szCs w:val="18"/>
              </w:rPr>
              <w:t xml:space="preserve">Red</w:t>
            </w:r>
          </w:p>
        </w:tc>
        <w:tc>
          <w:tcPr>
            <w:tcW w:w="3116" w:type="dxa"/>
            <w:vAlign w:val="top"/>
          </w:tcPr>
          <w:p>
            <w:pPr>
              <w:spacing w:before="40" w:after="40"/>
              <w:rPr>
                <w:sz w:val="18"/>
              </w:rPr>
            </w:pPr>
            <w:r>
              <w:rPr>
                <w:sz w:val="18"/>
                <w:szCs w:val="18"/>
              </w:rPr>
              <w:t xml:space="preserve">2 conmutadores de núcleo + 2 cortafuegos, </w:t>
            </w:r>
            <w:r>
              <w:rPr>
                <w:b/>
                <w:sz w:val="18"/>
                <w:szCs w:val="18"/>
              </w:rPr>
              <w:t xml:space="preserve">en alta disponibilidad, sin punto único de falla</w:t>
            </w:r>
          </w:p>
        </w:tc>
        <w:tc>
          <w:tcPr>
            <w:tcW w:w="3116" w:type="dxa"/>
            <w:vAlign w:val="top"/>
          </w:tcPr>
          <w:p>
            <w:pPr>
              <w:spacing w:before="40" w:after="40"/>
              <w:rPr>
                <w:sz w:val="18"/>
              </w:rPr>
            </w:pPr>
            <w:r>
              <w:rPr>
                <w:sz w:val="18"/>
                <w:szCs w:val="18"/>
              </w:rPr>
              <w:t xml:space="preserve">RT-08.03</w:t>
            </w:r>
          </w:p>
        </w:tc>
      </w:tr>
      <w:tr>
        <w:trPr>
          <w:cantSplit/>
        </w:trPr>
        <w:tc>
          <w:tcPr>
            <w:tcW w:w="3116" w:type="dxa"/>
            <w:vAlign w:val="top"/>
          </w:tcPr>
          <w:p>
            <w:pPr>
              <w:spacing w:before="40" w:after="40"/>
              <w:rPr>
                <w:sz w:val="18"/>
              </w:rPr>
            </w:pPr>
            <w:r>
              <w:rPr>
                <w:sz w:val="18"/>
                <w:szCs w:val="18"/>
              </w:rPr>
              <w:t xml:space="preserve">Racks</w:t>
            </w:r>
          </w:p>
        </w:tc>
        <w:tc>
          <w:tcPr>
            <w:tcW w:w="3116" w:type="dxa"/>
            <w:vAlign w:val="top"/>
          </w:tcPr>
          <w:p>
            <w:pPr>
              <w:spacing w:before="40" w:after="40"/>
              <w:rPr>
                <w:sz w:val="18"/>
              </w:rPr>
            </w:pPr>
            <w:r>
              <w:rPr>
                <w:sz w:val="18"/>
                <w:szCs w:val="18"/>
              </w:rPr>
              <w:t xml:space="preserve">Servidores en racks </w:t>
            </w:r>
            <w:r>
              <w:rPr>
                <w:b/>
                <w:sz w:val="18"/>
                <w:szCs w:val="18"/>
              </w:rPr>
              <w:t xml:space="preserve">independientes</w:t>
            </w:r>
            <w:r>
              <w:rPr>
                <w:sz w:val="18"/>
                <w:szCs w:val="18"/>
              </w:rPr>
              <w:t xml:space="preserve"> de los de comunicaciones, con ocupación proyectada y margen declarados</w:t>
            </w:r>
          </w:p>
        </w:tc>
        <w:tc>
          <w:tcPr>
            <w:tcW w:w="3116" w:type="dxa"/>
            <w:vAlign w:val="top"/>
          </w:tcPr>
          <w:p>
            <w:pPr>
              <w:spacing w:before="40" w:after="40"/>
              <w:rPr>
                <w:sz w:val="18"/>
              </w:rPr>
            </w:pPr>
            <w:r>
              <w:rPr>
                <w:sz w:val="18"/>
                <w:szCs w:val="18"/>
              </w:rPr>
              <w:t xml:space="preserve">RT-06.05</w:t>
            </w:r>
          </w:p>
        </w:tc>
      </w:tr>
      <w:tr>
        <w:trPr>
          <w:cantSplit/>
        </w:trPr>
        <w:tc>
          <w:tcPr>
            <w:tcW w:w="3116" w:type="dxa"/>
            <w:vAlign w:val="top"/>
          </w:tcPr>
          <w:p>
            <w:pPr>
              <w:spacing w:before="40" w:after="40"/>
              <w:rPr>
                <w:sz w:val="18"/>
              </w:rPr>
            </w:pPr>
            <w:r>
              <w:rPr>
                <w:sz w:val="18"/>
                <w:szCs w:val="18"/>
              </w:rPr>
              <w:t xml:space="preserve">Equipamiento</w:t>
            </w:r>
          </w:p>
        </w:tc>
        <w:tc>
          <w:tcPr>
            <w:tcW w:w="3116" w:type="dxa"/>
            <w:vAlign w:val="top"/>
          </w:tcPr>
          <w:p>
            <w:pPr>
              <w:spacing w:before="40" w:after="40"/>
              <w:rPr>
                <w:sz w:val="18"/>
              </w:rPr>
            </w:pPr>
            <w:r>
              <w:rPr>
                <w:b/>
                <w:sz w:val="18"/>
                <w:szCs w:val="18"/>
              </w:rPr>
              <w:t xml:space="preserve">Nuevo, sin uso previo, con garantía de fábrica vigente</w:t>
            </w:r>
            <w:r>
              <w:rPr>
                <w:sz w:val="18"/>
                <w:szCs w:val="18"/>
              </w:rPr>
              <w:t xml:space="preserve"> desde la recepción conforme</w:t>
            </w:r>
          </w:p>
        </w:tc>
        <w:tc>
          <w:tcPr>
            <w:tcW w:w="3116" w:type="dxa"/>
            <w:vAlign w:val="top"/>
          </w:tcPr>
          <w:p>
            <w:pPr>
              <w:spacing w:before="40" w:after="40"/>
              <w:rPr>
                <w:sz w:val="18"/>
              </w:rPr>
            </w:pPr>
            <w:r>
              <w:rPr>
                <w:sz w:val="18"/>
                <w:szCs w:val="18"/>
              </w:rPr>
              <w:t xml:space="preserve">RT-08.06</w:t>
            </w:r>
          </w:p>
        </w:tc>
      </w:tr>
      <w:tr>
        <w:trPr>
          <w:cantSplit/>
        </w:trPr>
        <w:tc>
          <w:tcPr>
            <w:tcW w:w="3116" w:type="dxa"/>
            <w:vAlign w:val="top"/>
          </w:tcPr>
          <w:p>
            <w:pPr>
              <w:spacing w:before="40" w:after="40"/>
              <w:rPr>
                <w:sz w:val="18"/>
              </w:rPr>
            </w:pPr>
            <w:r>
              <w:rPr>
                <w:sz w:val="18"/>
                <w:szCs w:val="18"/>
              </w:rPr>
              <w:t xml:space="preserve">Margen de crecimiento</w:t>
            </w:r>
          </w:p>
        </w:tc>
        <w:tc>
          <w:tcPr>
            <w:tcW w:w="3116" w:type="dxa"/>
            <w:vAlign w:val="top"/>
          </w:tcPr>
          <w:p>
            <w:pPr>
              <w:spacing w:before="40" w:after="40"/>
              <w:rPr>
                <w:sz w:val="18"/>
              </w:rPr>
            </w:pPr>
            <w:r>
              <w:rPr>
                <w:sz w:val="18"/>
                <w:szCs w:val="18"/>
              </w:rPr>
              <w:t xml:space="preserve">Declarado como % sobre la carga proyectada, con procedimiento de ampliación</w:t>
            </w:r>
          </w:p>
        </w:tc>
        <w:tc>
          <w:tcPr>
            <w:tcW w:w="3116" w:type="dxa"/>
            <w:vAlign w:val="top"/>
          </w:tcPr>
          <w:p>
            <w:pPr>
              <w:spacing w:before="40" w:after="40"/>
              <w:rPr>
                <w:sz w:val="18"/>
              </w:rPr>
            </w:pPr>
            <w:r>
              <w:rPr>
                <w:sz w:val="18"/>
                <w:szCs w:val="18"/>
              </w:rPr>
              <w:t xml:space="preserve">RT-08.05</w:t>
            </w:r>
          </w:p>
        </w:tc>
      </w:tr>
    </w:tbl>
    <w:p>
      <w:pPr>
        <w:spacing w:before="0" w:after="100"/>
      </w:pPr>
    </w:p>
    <w:p>
      <w:pPr>
        <w:spacing w:before="0" w:after="140" w:line="264" w:lineRule="auto"/>
      </w:pPr>
      <w:r>
        <w:rPr>
          <w:b/>
        </w:rPr>
        <w:t xml:space="preserve">Habilitación del recinto</w:t>
      </w:r>
      <w:r>
        <w:t xml:space="preserve"> (dimensionada a tipología «sala técnica de sitio»):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Ámbito</w:t>
            </w:r>
          </w:p>
        </w:tc>
        <w:tc>
          <w:tcPr>
            <w:tcW w:w="2337" w:type="dxa"/>
            <w:shd w:val="clear" w:fill="EDF2F8"/>
            <w:vAlign w:val="top"/>
          </w:tcPr>
          <w:p>
            <w:pPr>
              <w:spacing w:before="40" w:after="40"/>
              <w:rPr>
                <w:sz w:val="18"/>
              </w:rPr>
            </w:pPr>
            <w:r>
              <w:rPr>
                <w:b/>
                <w:sz w:val="18"/>
                <w:szCs w:val="18"/>
              </w:rPr>
              <w:t xml:space="preserve">Especificación</w:t>
            </w:r>
          </w:p>
        </w:tc>
        <w:tc>
          <w:tcPr>
            <w:tcW w:w="2337" w:type="dxa"/>
            <w:shd w:val="clear" w:fill="EDF2F8"/>
            <w:vAlign w:val="top"/>
          </w:tcPr>
          <w:p>
            <w:pPr>
              <w:spacing w:before="40" w:after="40"/>
              <w:rPr>
                <w:sz w:val="18"/>
              </w:rPr>
            </w:pPr>
            <w:r>
              <w:rPr>
                <w:b/>
                <w:sz w:val="18"/>
                <w:szCs w:val="18"/>
              </w:rPr>
              <w:t xml:space="preserve">Requisito</w:t>
            </w:r>
          </w:p>
        </w:tc>
        <w:tc>
          <w:tcPr>
            <w:tcW w:w="2337" w:type="dxa"/>
            <w:shd w:val="clear" w:fill="EDF2F8"/>
            <w:vAlign w:val="top"/>
          </w:tcPr>
          <w:p>
            <w:pPr>
              <w:spacing w:before="40" w:after="40"/>
              <w:rPr>
                <w:sz w:val="18"/>
              </w:rPr>
            </w:pPr>
            <w:r>
              <w:rPr>
                <w:b/>
                <w:sz w:val="18"/>
                <w:szCs w:val="18"/>
              </w:rPr>
              <w:t xml:space="preserve">Brecha vs. hoy</w:t>
            </w:r>
          </w:p>
        </w:tc>
      </w:tr>
      <w:tr>
        <w:trPr>
          <w:cantSplit/>
        </w:trPr>
        <w:tc>
          <w:tcPr>
            <w:tcW w:w="2337" w:type="dxa"/>
            <w:vAlign w:val="top"/>
          </w:tcPr>
          <w:p>
            <w:pPr>
              <w:spacing w:before="40" w:after="40"/>
              <w:rPr>
                <w:sz w:val="18"/>
              </w:rPr>
            </w:pPr>
            <w:r>
              <w:rPr>
                <w:sz w:val="18"/>
                <w:szCs w:val="18"/>
              </w:rPr>
              <w:t xml:space="preserve">Energía</w:t>
            </w:r>
          </w:p>
        </w:tc>
        <w:tc>
          <w:tcPr>
            <w:tcW w:w="2337" w:type="dxa"/>
            <w:vAlign w:val="top"/>
          </w:tcPr>
          <w:p>
            <w:pPr>
              <w:spacing w:before="40" w:after="40"/>
              <w:rPr>
                <w:sz w:val="18"/>
              </w:rPr>
            </w:pPr>
            <w:r>
              <w:rPr>
                <w:sz w:val="18"/>
                <w:szCs w:val="18"/>
              </w:rPr>
              <w:t xml:space="preserve">UPS con autonomía </w:t>
            </w:r>
            <w:r>
              <w:rPr>
                <w:b/>
                <w:sz w:val="18"/>
                <w:szCs w:val="18"/>
              </w:rPr>
              <w:t xml:space="preserve">≥30 min a plena carga</w:t>
            </w:r>
          </w:p>
        </w:tc>
        <w:tc>
          <w:tcPr>
            <w:tcW w:w="2337" w:type="dxa"/>
            <w:vAlign w:val="top"/>
          </w:tcPr>
          <w:p>
            <w:pPr>
              <w:spacing w:before="40" w:after="40"/>
              <w:rPr>
                <w:sz w:val="18"/>
              </w:rPr>
            </w:pPr>
            <w:r>
              <w:rPr>
                <w:sz w:val="18"/>
                <w:szCs w:val="18"/>
              </w:rPr>
              <w:t xml:space="preserve">RT-06.07</w:t>
            </w:r>
          </w:p>
        </w:tc>
        <w:tc>
          <w:tcPr>
            <w:tcW w:w="2337" w:type="dxa"/>
            <w:vAlign w:val="top"/>
          </w:tcPr>
          <w:p>
            <w:pPr>
              <w:spacing w:before="40" w:after="40"/>
              <w:rPr>
                <w:sz w:val="18"/>
              </w:rPr>
            </w:pPr>
            <w:r>
              <w:rPr>
                <w:sz w:val="18"/>
                <w:szCs w:val="18"/>
              </w:rPr>
              <w:t xml:space="preserve">Hoy 20 min</w:t>
            </w:r>
          </w:p>
        </w:tc>
      </w:tr>
      <w:tr>
        <w:trPr>
          <w:cantSplit/>
        </w:trPr>
        <w:tc>
          <w:tcPr>
            <w:tcW w:w="2337" w:type="dxa"/>
            <w:vAlign w:val="top"/>
          </w:tcPr>
          <w:p>
            <w:pPr>
              <w:spacing w:before="40" w:after="40"/>
              <w:rPr>
                <w:sz w:val="18"/>
              </w:rPr>
            </w:pPr>
            <w:r>
              <w:rPr>
                <w:sz w:val="18"/>
                <w:szCs w:val="18"/>
              </w:rPr>
              <w:t xml:space="preserve">Energía</w:t>
            </w:r>
          </w:p>
        </w:tc>
        <w:tc>
          <w:tcPr>
            <w:tcW w:w="2337" w:type="dxa"/>
            <w:vAlign w:val="top"/>
          </w:tcPr>
          <w:p>
            <w:pPr>
              <w:spacing w:before="40" w:after="40"/>
              <w:rPr>
                <w:sz w:val="18"/>
              </w:rPr>
            </w:pPr>
            <w:r>
              <w:rPr>
                <w:sz w:val="18"/>
                <w:szCs w:val="18"/>
              </w:rPr>
              <w:t xml:space="preserve">Generación autónoma </w:t>
            </w:r>
            <w:r>
              <w:rPr>
                <w:b/>
                <w:sz w:val="18"/>
                <w:szCs w:val="18"/>
              </w:rPr>
              <w:t xml:space="preserve">≥24 h continuas</w:t>
            </w:r>
            <w:r>
              <w:rPr>
                <w:sz w:val="18"/>
                <w:szCs w:val="18"/>
              </w:rPr>
              <w:t xml:space="preserve">, estanque dimensionado y contrato de reabastecimiento declarado</w:t>
            </w:r>
          </w:p>
        </w:tc>
        <w:tc>
          <w:tcPr>
            <w:tcW w:w="2337" w:type="dxa"/>
            <w:vAlign w:val="top"/>
          </w:tcPr>
          <w:p>
            <w:pPr>
              <w:spacing w:before="40" w:after="40"/>
              <w:rPr>
                <w:sz w:val="18"/>
              </w:rPr>
            </w:pPr>
            <w:r>
              <w:rPr>
                <w:sz w:val="18"/>
                <w:szCs w:val="18"/>
              </w:rPr>
              <w:t xml:space="preserve">RT-06.08</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Energía</w:t>
            </w:r>
          </w:p>
        </w:tc>
        <w:tc>
          <w:tcPr>
            <w:tcW w:w="2337" w:type="dxa"/>
            <w:vAlign w:val="top"/>
          </w:tcPr>
          <w:p>
            <w:pPr>
              <w:spacing w:before="40" w:after="40"/>
              <w:rPr>
                <w:sz w:val="18"/>
              </w:rPr>
            </w:pPr>
            <w:r>
              <w:rPr>
                <w:sz w:val="18"/>
                <w:szCs w:val="18"/>
              </w:rPr>
              <w:t xml:space="preserve">Instalación eléctrica </w:t>
            </w:r>
            <w:r>
              <w:rPr>
                <w:b/>
                <w:sz w:val="18"/>
                <w:szCs w:val="18"/>
              </w:rPr>
              <w:t xml:space="preserve">independiente del resto del edificio</w:t>
            </w:r>
            <w:r>
              <w:rPr>
                <w:sz w:val="18"/>
                <w:szCs w:val="18"/>
              </w:rPr>
              <w:t xml:space="preserve">, NCh Elec. 2777 para puesta a tierra</w:t>
            </w:r>
          </w:p>
        </w:tc>
        <w:tc>
          <w:tcPr>
            <w:tcW w:w="2337" w:type="dxa"/>
            <w:vAlign w:val="top"/>
          </w:tcPr>
          <w:p>
            <w:pPr>
              <w:spacing w:before="40" w:after="40"/>
              <w:rPr>
                <w:sz w:val="18"/>
              </w:rPr>
            </w:pPr>
            <w:r>
              <w:rPr>
                <w:sz w:val="18"/>
                <w:szCs w:val="18"/>
              </w:rPr>
              <w:t xml:space="preserve">RT-06.09</w:t>
            </w:r>
          </w:p>
        </w:tc>
        <w:tc>
          <w:tcPr>
            <w:tcW w:w="2337" w:type="dxa"/>
            <w:vAlign w:val="top"/>
          </w:tcPr>
          <w:p>
            <w:pPr>
              <w:spacing w:before="40" w:after="40"/>
              <w:rPr>
                <w:sz w:val="18"/>
              </w:rPr>
            </w:pPr>
            <w:r>
              <w:rPr>
                <w:sz w:val="18"/>
                <w:szCs w:val="18"/>
              </w:rPr>
              <w:t xml:space="preserve">Verificar</w:t>
            </w:r>
          </w:p>
        </w:tc>
      </w:tr>
      <w:tr>
        <w:trPr>
          <w:cantSplit/>
        </w:trPr>
        <w:tc>
          <w:tcPr>
            <w:tcW w:w="2337" w:type="dxa"/>
            <w:vAlign w:val="top"/>
          </w:tcPr>
          <w:p>
            <w:pPr>
              <w:spacing w:before="40" w:after="40"/>
              <w:rPr>
                <w:sz w:val="18"/>
              </w:rPr>
            </w:pPr>
            <w:r>
              <w:rPr>
                <w:sz w:val="18"/>
                <w:szCs w:val="18"/>
              </w:rPr>
              <w:t xml:space="preserve">Energía</w:t>
            </w:r>
          </w:p>
        </w:tc>
        <w:tc>
          <w:tcPr>
            <w:tcW w:w="2337" w:type="dxa"/>
            <w:vAlign w:val="top"/>
          </w:tcPr>
          <w:p>
            <w:pPr>
              <w:spacing w:before="40" w:after="40"/>
              <w:rPr>
                <w:sz w:val="18"/>
              </w:rPr>
            </w:pPr>
            <w:r>
              <w:rPr>
                <w:sz w:val="18"/>
                <w:szCs w:val="18"/>
              </w:rPr>
              <w:t xml:space="preserve">Revisión y medición </w:t>
            </w:r>
            <w:r>
              <w:rPr>
                <w:b/>
                <w:sz w:val="18"/>
                <w:szCs w:val="18"/>
              </w:rPr>
              <w:t xml:space="preserve">semestral</w:t>
            </w:r>
            <w:r>
              <w:rPr>
                <w:sz w:val="18"/>
                <w:szCs w:val="18"/>
              </w:rPr>
              <w:t xml:space="preserve"> con informe entregable</w:t>
            </w:r>
          </w:p>
        </w:tc>
        <w:tc>
          <w:tcPr>
            <w:tcW w:w="2337" w:type="dxa"/>
            <w:vAlign w:val="top"/>
          </w:tcPr>
          <w:p>
            <w:pPr>
              <w:spacing w:before="40" w:after="40"/>
              <w:rPr>
                <w:sz w:val="18"/>
              </w:rPr>
            </w:pPr>
            <w:r>
              <w:rPr>
                <w:sz w:val="18"/>
                <w:szCs w:val="18"/>
              </w:rPr>
              <w:t xml:space="preserve">RT-06.10</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Energía</w:t>
            </w:r>
          </w:p>
        </w:tc>
        <w:tc>
          <w:tcPr>
            <w:tcW w:w="2337" w:type="dxa"/>
            <w:vAlign w:val="top"/>
          </w:tcPr>
          <w:p>
            <w:pPr>
              <w:spacing w:before="40" w:after="40"/>
              <w:rPr>
                <w:sz w:val="18"/>
              </w:rPr>
            </w:pPr>
            <w:r>
              <w:rPr>
                <w:sz w:val="18"/>
                <w:szCs w:val="18"/>
              </w:rPr>
              <w:t xml:space="preserve">Declarar carga proyectada en kW, factor de potencia y </w:t>
            </w:r>
            <w:r>
              <w:rPr>
                <w:b/>
                <w:sz w:val="18"/>
                <w:szCs w:val="18"/>
              </w:rPr>
              <w:t xml:space="preserve">PUE</w:t>
            </w:r>
          </w:p>
        </w:tc>
        <w:tc>
          <w:tcPr>
            <w:tcW w:w="2337" w:type="dxa"/>
            <w:vAlign w:val="top"/>
          </w:tcPr>
          <w:p>
            <w:pPr>
              <w:spacing w:before="40" w:after="40"/>
              <w:rPr>
                <w:sz w:val="18"/>
              </w:rPr>
            </w:pPr>
            <w:r>
              <w:rPr>
                <w:sz w:val="18"/>
                <w:szCs w:val="18"/>
              </w:rPr>
              <w:t xml:space="preserve">RT-06.11</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Clima</w:t>
            </w:r>
          </w:p>
        </w:tc>
        <w:tc>
          <w:tcPr>
            <w:tcW w:w="2337" w:type="dxa"/>
            <w:vAlign w:val="top"/>
          </w:tcPr>
          <w:p>
            <w:pPr>
              <w:spacing w:before="40" w:after="40"/>
              <w:rPr>
                <w:sz w:val="18"/>
              </w:rPr>
            </w:pPr>
            <w:r>
              <w:rPr>
                <w:sz w:val="18"/>
                <w:szCs w:val="18"/>
              </w:rPr>
              <w:t xml:space="preserve">Climatización de precisión </w:t>
            </w:r>
            <w:r>
              <w:rPr>
                <w:b/>
                <w:sz w:val="18"/>
                <w:szCs w:val="18"/>
              </w:rPr>
              <w:t xml:space="preserve">redundante N+1</w:t>
            </w:r>
            <w:r>
              <w:rPr>
                <w:sz w:val="18"/>
                <w:szCs w:val="18"/>
              </w:rPr>
              <w:t xml:space="preserve">, control de temperatura y humedad</w:t>
            </w:r>
          </w:p>
        </w:tc>
        <w:tc>
          <w:tcPr>
            <w:tcW w:w="2337" w:type="dxa"/>
            <w:vAlign w:val="top"/>
          </w:tcPr>
          <w:p>
            <w:pPr>
              <w:spacing w:before="40" w:after="40"/>
              <w:rPr>
                <w:sz w:val="18"/>
              </w:rPr>
            </w:pPr>
            <w:r>
              <w:rPr>
                <w:sz w:val="18"/>
                <w:szCs w:val="18"/>
              </w:rPr>
              <w:t xml:space="preserve">RT-06.13</w:t>
            </w:r>
          </w:p>
        </w:tc>
        <w:tc>
          <w:tcPr>
            <w:tcW w:w="2337" w:type="dxa"/>
            <w:vAlign w:val="top"/>
          </w:tcPr>
          <w:p>
            <w:pPr>
              <w:spacing w:before="40" w:after="40"/>
              <w:rPr>
                <w:sz w:val="18"/>
              </w:rPr>
            </w:pPr>
            <w:r>
              <w:rPr>
                <w:sz w:val="18"/>
                <w:szCs w:val="18"/>
              </w:rPr>
              <w:t xml:space="preserve">Hoy split</w:t>
            </w:r>
          </w:p>
        </w:tc>
      </w:tr>
      <w:tr>
        <w:trPr>
          <w:cantSplit/>
        </w:trPr>
        <w:tc>
          <w:tcPr>
            <w:tcW w:w="2337" w:type="dxa"/>
            <w:vAlign w:val="top"/>
          </w:tcPr>
          <w:p>
            <w:pPr>
              <w:spacing w:before="40" w:after="40"/>
              <w:rPr>
                <w:sz w:val="18"/>
              </w:rPr>
            </w:pPr>
            <w:r>
              <w:rPr>
                <w:sz w:val="18"/>
                <w:szCs w:val="18"/>
              </w:rPr>
              <w:t xml:space="preserve">Clima</w:t>
            </w:r>
          </w:p>
        </w:tc>
        <w:tc>
          <w:tcPr>
            <w:tcW w:w="2337" w:type="dxa"/>
            <w:vAlign w:val="top"/>
          </w:tcPr>
          <w:p>
            <w:pPr>
              <w:spacing w:before="40" w:after="40"/>
              <w:rPr>
                <w:sz w:val="18"/>
              </w:rPr>
            </w:pPr>
            <w:r>
              <w:rPr>
                <w:sz w:val="18"/>
                <w:szCs w:val="18"/>
              </w:rPr>
              <w:t xml:space="preserve">Monitoreo en línea de temperatura, humedad y </w:t>
            </w:r>
            <w:r>
              <w:rPr>
                <w:b/>
                <w:sz w:val="18"/>
                <w:szCs w:val="18"/>
              </w:rPr>
              <w:t xml:space="preserve">presencia de agua</w:t>
            </w:r>
            <w:r>
              <w:rPr>
                <w:sz w:val="18"/>
                <w:szCs w:val="18"/>
              </w:rPr>
              <w:t xml:space="preserve">, integrado a observabilidad</w:t>
            </w:r>
          </w:p>
        </w:tc>
        <w:tc>
          <w:tcPr>
            <w:tcW w:w="2337" w:type="dxa"/>
            <w:vAlign w:val="top"/>
          </w:tcPr>
          <w:p>
            <w:pPr>
              <w:spacing w:before="40" w:after="40"/>
              <w:rPr>
                <w:sz w:val="18"/>
              </w:rPr>
            </w:pPr>
            <w:r>
              <w:rPr>
                <w:sz w:val="18"/>
                <w:szCs w:val="18"/>
              </w:rPr>
              <w:t xml:space="preserve">RT-06.14</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Incendio</w:t>
            </w:r>
          </w:p>
        </w:tc>
        <w:tc>
          <w:tcPr>
            <w:tcW w:w="2337" w:type="dxa"/>
            <w:vAlign w:val="top"/>
          </w:tcPr>
          <w:p>
            <w:pPr>
              <w:spacing w:before="40" w:after="40"/>
              <w:rPr>
                <w:sz w:val="18"/>
              </w:rPr>
            </w:pPr>
            <w:r>
              <w:rPr>
                <w:sz w:val="18"/>
                <w:szCs w:val="18"/>
              </w:rPr>
              <w:t xml:space="preserve">Detección temprana por </w:t>
            </w:r>
            <w:r>
              <w:rPr>
                <w:b/>
                <w:sz w:val="18"/>
                <w:szCs w:val="18"/>
              </w:rPr>
              <w:t xml:space="preserve">aspiración de aire con tecnología láser</w:t>
            </w:r>
            <w:r>
              <w:rPr>
                <w:sz w:val="18"/>
                <w:szCs w:val="18"/>
              </w:rPr>
              <w:t xml:space="preserve">, tipo AnaLASER o equivalente</w:t>
            </w:r>
          </w:p>
        </w:tc>
        <w:tc>
          <w:tcPr>
            <w:tcW w:w="2337" w:type="dxa"/>
            <w:vAlign w:val="top"/>
          </w:tcPr>
          <w:p>
            <w:pPr>
              <w:spacing w:before="40" w:after="40"/>
              <w:rPr>
                <w:sz w:val="18"/>
              </w:rPr>
            </w:pPr>
            <w:r>
              <w:rPr>
                <w:sz w:val="18"/>
                <w:szCs w:val="18"/>
              </w:rPr>
              <w:t xml:space="preserve">RT-06.16</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Incendio</w:t>
            </w:r>
          </w:p>
        </w:tc>
        <w:tc>
          <w:tcPr>
            <w:tcW w:w="2337" w:type="dxa"/>
            <w:vAlign w:val="top"/>
          </w:tcPr>
          <w:p>
            <w:pPr>
              <w:spacing w:before="40" w:after="40"/>
              <w:rPr>
                <w:sz w:val="18"/>
              </w:rPr>
            </w:pPr>
            <w:r>
              <w:rPr>
                <w:sz w:val="18"/>
                <w:szCs w:val="18"/>
              </w:rPr>
              <w:t xml:space="preserve">Extinción automática por </w:t>
            </w:r>
            <w:r>
              <w:rPr>
                <w:b/>
                <w:sz w:val="18"/>
                <w:szCs w:val="18"/>
              </w:rPr>
              <w:t xml:space="preserve">agente limpio</w:t>
            </w:r>
            <w:r>
              <w:rPr>
                <w:sz w:val="18"/>
                <w:szCs w:val="18"/>
              </w:rPr>
              <w:t xml:space="preserve">, aprobación UL, instalación conforme a NFPA</w:t>
            </w:r>
          </w:p>
        </w:tc>
        <w:tc>
          <w:tcPr>
            <w:tcW w:w="2337" w:type="dxa"/>
            <w:vAlign w:val="top"/>
          </w:tcPr>
          <w:p>
            <w:pPr>
              <w:spacing w:before="40" w:after="40"/>
              <w:rPr>
                <w:sz w:val="18"/>
              </w:rPr>
            </w:pPr>
            <w:r>
              <w:rPr>
                <w:sz w:val="18"/>
                <w:szCs w:val="18"/>
              </w:rPr>
              <w:t xml:space="preserve">RT-06.17</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Incendio</w:t>
            </w:r>
          </w:p>
        </w:tc>
        <w:tc>
          <w:tcPr>
            <w:tcW w:w="2337" w:type="dxa"/>
            <w:vAlign w:val="top"/>
          </w:tcPr>
          <w:p>
            <w:pPr>
              <w:spacing w:before="40" w:after="40"/>
              <w:rPr>
                <w:sz w:val="18"/>
              </w:rPr>
            </w:pPr>
            <w:r>
              <w:rPr>
                <w:sz w:val="18"/>
                <w:szCs w:val="18"/>
              </w:rPr>
              <w:t xml:space="preserve">Extintores portátiles con mantención y certificación vigentes</w:t>
            </w:r>
          </w:p>
        </w:tc>
        <w:tc>
          <w:tcPr>
            <w:tcW w:w="2337" w:type="dxa"/>
            <w:vAlign w:val="top"/>
          </w:tcPr>
          <w:p>
            <w:pPr>
              <w:spacing w:before="40" w:after="40"/>
              <w:rPr>
                <w:sz w:val="18"/>
              </w:rPr>
            </w:pPr>
            <w:r>
              <w:rPr>
                <w:sz w:val="18"/>
                <w:szCs w:val="18"/>
              </w:rPr>
              <w:t xml:space="preserve">RT-06.18</w:t>
            </w:r>
          </w:p>
        </w:tc>
        <w:tc>
          <w:tcPr>
            <w:tcW w:w="2337" w:type="dxa"/>
            <w:vAlign w:val="top"/>
          </w:tcPr>
          <w:p>
            <w:pPr>
              <w:spacing w:before="40" w:after="40"/>
              <w:rPr>
                <w:sz w:val="18"/>
              </w:rPr>
            </w:pPr>
            <w:r>
              <w:rPr>
                <w:sz w:val="18"/>
                <w:szCs w:val="18"/>
              </w:rPr>
              <w:t xml:space="preserve">Verificar</w:t>
            </w:r>
          </w:p>
        </w:tc>
      </w:tr>
      <w:tr>
        <w:trPr>
          <w:cantSplit/>
        </w:trPr>
        <w:tc>
          <w:tcPr>
            <w:tcW w:w="2337" w:type="dxa"/>
            <w:vAlign w:val="top"/>
          </w:tcPr>
          <w:p>
            <w:pPr>
              <w:spacing w:before="40" w:after="40"/>
              <w:rPr>
                <w:sz w:val="18"/>
              </w:rPr>
            </w:pPr>
            <w:r>
              <w:rPr>
                <w:sz w:val="18"/>
                <w:szCs w:val="18"/>
              </w:rPr>
              <w:t xml:space="preserve">Incendio</w:t>
            </w:r>
          </w:p>
        </w:tc>
        <w:tc>
          <w:tcPr>
            <w:tcW w:w="2337" w:type="dxa"/>
            <w:vAlign w:val="top"/>
          </w:tcPr>
          <w:p>
            <w:pPr>
              <w:spacing w:before="40" w:after="40"/>
              <w:rPr>
                <w:sz w:val="18"/>
              </w:rPr>
            </w:pPr>
            <w:r>
              <w:rPr>
                <w:sz w:val="18"/>
                <w:szCs w:val="18"/>
              </w:rPr>
              <w:t xml:space="preserve">Integración al monitoreo y </w:t>
            </w:r>
            <w:r>
              <w:rPr>
                <w:b/>
                <w:sz w:val="18"/>
                <w:szCs w:val="18"/>
              </w:rPr>
              <w:t xml:space="preserve">notificación al NOC</w:t>
            </w:r>
          </w:p>
        </w:tc>
        <w:tc>
          <w:tcPr>
            <w:tcW w:w="2337" w:type="dxa"/>
            <w:vAlign w:val="top"/>
          </w:tcPr>
          <w:p>
            <w:pPr>
              <w:spacing w:before="40" w:after="40"/>
              <w:rPr>
                <w:sz w:val="18"/>
              </w:rPr>
            </w:pPr>
            <w:r>
              <w:rPr>
                <w:sz w:val="18"/>
                <w:szCs w:val="18"/>
              </w:rPr>
              <w:t xml:space="preserve">RT-06.19</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Acceso</w:t>
            </w:r>
          </w:p>
        </w:tc>
        <w:tc>
          <w:tcPr>
            <w:tcW w:w="2337" w:type="dxa"/>
            <w:vAlign w:val="top"/>
          </w:tcPr>
          <w:p>
            <w:pPr>
              <w:spacing w:before="40" w:after="40"/>
              <w:rPr>
                <w:sz w:val="18"/>
              </w:rPr>
            </w:pPr>
            <w:r>
              <w:rPr>
                <w:sz w:val="18"/>
                <w:szCs w:val="18"/>
              </w:rPr>
              <w:t xml:space="preserve">Control de acceso </w:t>
            </w:r>
            <w:r>
              <w:rPr>
                <w:b/>
                <w:sz w:val="18"/>
                <w:szCs w:val="18"/>
              </w:rPr>
              <w:t xml:space="preserve">biométrico facial con AFIS de respaldo</w:t>
            </w:r>
          </w:p>
        </w:tc>
        <w:tc>
          <w:tcPr>
            <w:tcW w:w="2337" w:type="dxa"/>
            <w:vAlign w:val="top"/>
          </w:tcPr>
          <w:p>
            <w:pPr>
              <w:spacing w:before="40" w:after="40"/>
              <w:rPr>
                <w:sz w:val="18"/>
              </w:rPr>
            </w:pPr>
            <w:r>
              <w:rPr>
                <w:sz w:val="18"/>
                <w:szCs w:val="18"/>
              </w:rPr>
              <w:t xml:space="preserve">RT-06.20</w:t>
            </w:r>
          </w:p>
        </w:tc>
        <w:tc>
          <w:tcPr>
            <w:tcW w:w="2337" w:type="dxa"/>
            <w:vAlign w:val="top"/>
          </w:tcPr>
          <w:p>
            <w:pPr>
              <w:spacing w:before="40" w:after="40"/>
              <w:rPr>
                <w:sz w:val="18"/>
              </w:rPr>
            </w:pPr>
            <w:r>
              <w:rPr>
                <w:sz w:val="18"/>
                <w:szCs w:val="18"/>
              </w:rPr>
              <w:t xml:space="preserve">Hoy credencial</w:t>
            </w:r>
          </w:p>
        </w:tc>
      </w:tr>
      <w:tr>
        <w:trPr>
          <w:cantSplit/>
        </w:trPr>
        <w:tc>
          <w:tcPr>
            <w:tcW w:w="2337" w:type="dxa"/>
            <w:vAlign w:val="top"/>
          </w:tcPr>
          <w:p>
            <w:pPr>
              <w:spacing w:before="40" w:after="40"/>
              <w:rPr>
                <w:sz w:val="18"/>
              </w:rPr>
            </w:pPr>
            <w:r>
              <w:rPr>
                <w:sz w:val="18"/>
                <w:szCs w:val="18"/>
              </w:rPr>
              <w:t xml:space="preserve">Acceso</w:t>
            </w:r>
          </w:p>
        </w:tc>
        <w:tc>
          <w:tcPr>
            <w:tcW w:w="2337" w:type="dxa"/>
            <w:vAlign w:val="top"/>
          </w:tcPr>
          <w:p>
            <w:pPr>
              <w:spacing w:before="40" w:after="40"/>
              <w:rPr>
                <w:sz w:val="18"/>
              </w:rPr>
            </w:pPr>
            <w:r>
              <w:rPr>
                <w:sz w:val="18"/>
                <w:szCs w:val="18"/>
              </w:rPr>
              <w:t xml:space="preserve">Bitácora auditable de ingreso y egreso con persona, fecha, hora y motivo</w:t>
            </w:r>
          </w:p>
        </w:tc>
        <w:tc>
          <w:tcPr>
            <w:tcW w:w="2337" w:type="dxa"/>
            <w:vAlign w:val="top"/>
          </w:tcPr>
          <w:p>
            <w:pPr>
              <w:spacing w:before="40" w:after="40"/>
              <w:rPr>
                <w:sz w:val="18"/>
              </w:rPr>
            </w:pPr>
            <w:r>
              <w:rPr>
                <w:sz w:val="18"/>
                <w:szCs w:val="18"/>
              </w:rPr>
              <w:t xml:space="preserve">RT-06.21</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Acceso</w:t>
            </w:r>
          </w:p>
        </w:tc>
        <w:tc>
          <w:tcPr>
            <w:tcW w:w="2337" w:type="dxa"/>
            <w:vAlign w:val="top"/>
          </w:tcPr>
          <w:p>
            <w:pPr>
              <w:spacing w:before="40" w:after="40"/>
              <w:rPr>
                <w:sz w:val="18"/>
              </w:rPr>
            </w:pPr>
            <w:r>
              <w:rPr>
                <w:sz w:val="18"/>
                <w:szCs w:val="18"/>
              </w:rPr>
              <w:t xml:space="preserve">Videovigilancia IP, </w:t>
            </w:r>
            <w:r>
              <w:rPr>
                <w:b/>
                <w:sz w:val="18"/>
                <w:szCs w:val="18"/>
              </w:rPr>
              <w:t xml:space="preserve">30 días en línea</w:t>
            </w:r>
            <w:r>
              <w:rPr>
                <w:sz w:val="18"/>
                <w:szCs w:val="18"/>
              </w:rPr>
              <w:t xml:space="preserve">, respaldo posterior recuperable</w:t>
            </w:r>
          </w:p>
        </w:tc>
        <w:tc>
          <w:tcPr>
            <w:tcW w:w="2337" w:type="dxa"/>
            <w:vAlign w:val="top"/>
          </w:tcPr>
          <w:p>
            <w:pPr>
              <w:spacing w:before="40" w:after="40"/>
              <w:rPr>
                <w:sz w:val="18"/>
              </w:rPr>
            </w:pPr>
            <w:r>
              <w:rPr>
                <w:sz w:val="18"/>
                <w:szCs w:val="18"/>
              </w:rPr>
              <w:t xml:space="preserve">RT-06.24</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Acceso</w:t>
            </w:r>
          </w:p>
        </w:tc>
        <w:tc>
          <w:tcPr>
            <w:tcW w:w="2337" w:type="dxa"/>
            <w:vAlign w:val="top"/>
          </w:tcPr>
          <w:p>
            <w:pPr>
              <w:spacing w:before="40" w:after="40"/>
              <w:rPr>
                <w:sz w:val="18"/>
              </w:rPr>
            </w:pPr>
            <w:r>
              <w:rPr>
                <w:sz w:val="18"/>
                <w:szCs w:val="18"/>
              </w:rPr>
              <w:t xml:space="preserve">Procedimiento de acceso de terceros con </w:t>
            </w:r>
            <w:r>
              <w:rPr>
                <w:b/>
                <w:sz w:val="18"/>
                <w:szCs w:val="18"/>
              </w:rPr>
              <w:t xml:space="preserve">acompañamiento obligatorio</w:t>
            </w:r>
          </w:p>
        </w:tc>
        <w:tc>
          <w:tcPr>
            <w:tcW w:w="2337" w:type="dxa"/>
            <w:vAlign w:val="top"/>
          </w:tcPr>
          <w:p>
            <w:pPr>
              <w:spacing w:before="40" w:after="40"/>
              <w:rPr>
                <w:sz w:val="18"/>
              </w:rPr>
            </w:pPr>
            <w:r>
              <w:rPr>
                <w:sz w:val="18"/>
                <w:szCs w:val="18"/>
              </w:rPr>
              <w:t xml:space="preserve">RT-06.25</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Medios</w:t>
            </w:r>
          </w:p>
        </w:tc>
        <w:tc>
          <w:tcPr>
            <w:tcW w:w="2337" w:type="dxa"/>
            <w:vAlign w:val="top"/>
          </w:tcPr>
          <w:p>
            <w:pPr>
              <w:spacing w:before="40" w:after="40"/>
              <w:rPr>
                <w:sz w:val="18"/>
              </w:rPr>
            </w:pPr>
            <w:r>
              <w:rPr>
                <w:sz w:val="18"/>
                <w:szCs w:val="18"/>
              </w:rPr>
              <w:t xml:space="preserve">Custodia en medio físico transportable a otro lugar</w:t>
            </w:r>
          </w:p>
        </w:tc>
        <w:tc>
          <w:tcPr>
            <w:tcW w:w="2337" w:type="dxa"/>
            <w:vAlign w:val="top"/>
          </w:tcPr>
          <w:p>
            <w:pPr>
              <w:spacing w:before="40" w:after="40"/>
              <w:rPr>
                <w:sz w:val="18"/>
              </w:rPr>
            </w:pPr>
            <w:r>
              <w:rPr>
                <w:sz w:val="18"/>
                <w:szCs w:val="18"/>
              </w:rPr>
              <w:t xml:space="preserve">RT-06.26</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Medios</w:t>
            </w:r>
          </w:p>
        </w:tc>
        <w:tc>
          <w:tcPr>
            <w:tcW w:w="2337" w:type="dxa"/>
            <w:vAlign w:val="top"/>
          </w:tcPr>
          <w:p>
            <w:pPr>
              <w:spacing w:before="40" w:after="40"/>
              <w:rPr>
                <w:sz w:val="18"/>
              </w:rPr>
            </w:pPr>
            <w:r>
              <w:rPr>
                <w:sz w:val="18"/>
                <w:szCs w:val="18"/>
              </w:rPr>
              <w:t xml:space="preserve">Inventario con rotación, </w:t>
            </w:r>
            <w:r>
              <w:rPr>
                <w:b/>
                <w:sz w:val="18"/>
                <w:szCs w:val="18"/>
              </w:rPr>
              <w:t xml:space="preserve">verificación periódica de legibilidad</w:t>
            </w:r>
            <w:r>
              <w:rPr>
                <w:sz w:val="18"/>
                <w:szCs w:val="18"/>
              </w:rPr>
              <w:t xml:space="preserve"> y registro de movimientos</w:t>
            </w:r>
          </w:p>
        </w:tc>
        <w:tc>
          <w:tcPr>
            <w:tcW w:w="2337" w:type="dxa"/>
            <w:vAlign w:val="top"/>
          </w:tcPr>
          <w:p>
            <w:pPr>
              <w:spacing w:before="40" w:after="40"/>
              <w:rPr>
                <w:sz w:val="18"/>
              </w:rPr>
            </w:pPr>
            <w:r>
              <w:rPr>
                <w:sz w:val="18"/>
                <w:szCs w:val="18"/>
              </w:rPr>
              <w:t xml:space="preserve">RT-06.28</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Operación</w:t>
            </w:r>
          </w:p>
        </w:tc>
        <w:tc>
          <w:tcPr>
            <w:tcW w:w="2337" w:type="dxa"/>
            <w:vAlign w:val="top"/>
          </w:tcPr>
          <w:p>
            <w:pPr>
              <w:spacing w:before="40" w:after="40"/>
              <w:rPr>
                <w:sz w:val="18"/>
              </w:rPr>
            </w:pPr>
            <w:r>
              <w:rPr>
                <w:sz w:val="18"/>
                <w:szCs w:val="18"/>
              </w:rPr>
              <w:t xml:space="preserve">Espacio de operación </w:t>
            </w:r>
            <w:r>
              <w:rPr>
                <w:b/>
                <w:sz w:val="18"/>
                <w:szCs w:val="18"/>
              </w:rPr>
              <w:t xml:space="preserve">separado de la sala de equipos</w:t>
            </w:r>
            <w:r>
              <w:rPr>
                <w:sz w:val="18"/>
                <w:szCs w:val="18"/>
              </w:rPr>
              <w:t xml:space="preserve">, sin requerir ingreso al recinto técnico</w:t>
            </w:r>
          </w:p>
        </w:tc>
        <w:tc>
          <w:tcPr>
            <w:tcW w:w="2337" w:type="dxa"/>
            <w:vAlign w:val="top"/>
          </w:tcPr>
          <w:p>
            <w:pPr>
              <w:spacing w:before="40" w:after="40"/>
              <w:rPr>
                <w:sz w:val="18"/>
              </w:rPr>
            </w:pPr>
            <w:r>
              <w:rPr>
                <w:sz w:val="18"/>
                <w:szCs w:val="18"/>
              </w:rPr>
              <w:t xml:space="preserve">RT-06.29, RT-06.30</w:t>
            </w:r>
          </w:p>
        </w:tc>
        <w:tc>
          <w:tcPr>
            <w:tcW w:w="2337" w:type="dxa"/>
            <w:vAlign w:val="top"/>
          </w:tcPr>
          <w:p>
            <w:pPr>
              <w:spacing w:before="40" w:after="40"/>
              <w:rPr>
                <w:sz w:val="18"/>
              </w:rPr>
            </w:pPr>
            <w:r>
              <w:rPr>
                <w:sz w:val="18"/>
                <w:szCs w:val="18"/>
              </w:rPr>
              <w:t xml:space="preserve">No existe</w:t>
            </w:r>
          </w:p>
        </w:tc>
      </w:tr>
      <w:tr>
        <w:trPr>
          <w:cantSplit/>
        </w:trPr>
        <w:tc>
          <w:tcPr>
            <w:tcW w:w="2337" w:type="dxa"/>
            <w:vAlign w:val="top"/>
          </w:tcPr>
          <w:p>
            <w:pPr>
              <w:spacing w:before="40" w:after="40"/>
              <w:rPr>
                <w:sz w:val="18"/>
              </w:rPr>
            </w:pPr>
            <w:r>
              <w:rPr>
                <w:sz w:val="18"/>
                <w:szCs w:val="18"/>
              </w:rPr>
              <w:t xml:space="preserve">Operación</w:t>
            </w:r>
          </w:p>
        </w:tc>
        <w:tc>
          <w:tcPr>
            <w:tcW w:w="2337" w:type="dxa"/>
            <w:vAlign w:val="top"/>
          </w:tcPr>
          <w:p>
            <w:pPr>
              <w:spacing w:before="40" w:after="40"/>
              <w:rPr>
                <w:sz w:val="18"/>
              </w:rPr>
            </w:pPr>
            <w:r>
              <w:rPr>
                <w:sz w:val="18"/>
                <w:szCs w:val="18"/>
              </w:rPr>
              <w:t xml:space="preserve">Declarar qué instalaciones sanitarias y zonas de seguridad existentes del edificio se usarán, </w:t>
            </w:r>
            <w:r>
              <w:rPr>
                <w:b/>
                <w:sz w:val="18"/>
                <w:szCs w:val="18"/>
              </w:rPr>
              <w:t xml:space="preserve">sin reimplementarlas</w:t>
            </w:r>
          </w:p>
        </w:tc>
        <w:tc>
          <w:tcPr>
            <w:tcW w:w="2337" w:type="dxa"/>
            <w:vAlign w:val="top"/>
          </w:tcPr>
          <w:p>
            <w:pPr>
              <w:spacing w:before="40" w:after="40"/>
              <w:rPr>
                <w:sz w:val="18"/>
              </w:rPr>
            </w:pPr>
            <w:r>
              <w:rPr>
                <w:sz w:val="18"/>
                <w:szCs w:val="18"/>
              </w:rPr>
              <w:t xml:space="preserve">RT-06.31</w:t>
            </w:r>
          </w:p>
        </w:tc>
        <w:tc>
          <w:tcPr>
            <w:tcW w:w="2337" w:type="dxa"/>
            <w:vAlign w:val="top"/>
          </w:tcPr>
          <w:p>
            <w:pPr>
              <w:spacing w:before="40" w:after="40"/>
              <w:rPr>
                <w:sz w:val="18"/>
              </w:rPr>
            </w:pPr>
            <w:r>
              <w:rPr>
                <w:sz w:val="18"/>
                <w:szCs w:val="18"/>
              </w:rPr>
              <w:t xml:space="preserve">Declarar</w:t>
            </w:r>
          </w:p>
        </w:tc>
      </w:tr>
      <w:tr>
        <w:trPr>
          <w:cantSplit/>
        </w:trPr>
        <w:tc>
          <w:tcPr>
            <w:tcW w:w="2337" w:type="dxa"/>
            <w:vAlign w:val="top"/>
          </w:tcPr>
          <w:p>
            <w:pPr>
              <w:spacing w:before="40" w:after="40"/>
              <w:rPr>
                <w:sz w:val="18"/>
              </w:rPr>
            </w:pPr>
            <w:r>
              <w:rPr>
                <w:sz w:val="18"/>
                <w:szCs w:val="18"/>
              </w:rPr>
              <w:t xml:space="preserve">Redes</w:t>
            </w:r>
          </w:p>
        </w:tc>
        <w:tc>
          <w:tcPr>
            <w:tcW w:w="2337" w:type="dxa"/>
            <w:vAlign w:val="top"/>
          </w:tcPr>
          <w:p>
            <w:pPr>
              <w:spacing w:before="40" w:after="40"/>
              <w:rPr>
                <w:sz w:val="18"/>
              </w:rPr>
            </w:pPr>
            <w:r>
              <w:rPr>
                <w:sz w:val="18"/>
                <w:szCs w:val="18"/>
              </w:rPr>
              <w:t xml:space="preserve">Acceso a comunicaciones por </w:t>
            </w:r>
            <w:r>
              <w:rPr>
                <w:b/>
                <w:sz w:val="18"/>
                <w:szCs w:val="18"/>
              </w:rPr>
              <w:t xml:space="preserve">rutas físicas distintas con ingreso al edificio por puntos separados</w:t>
            </w:r>
          </w:p>
        </w:tc>
        <w:tc>
          <w:tcPr>
            <w:tcW w:w="2337" w:type="dxa"/>
            <w:vAlign w:val="top"/>
          </w:tcPr>
          <w:p>
            <w:pPr>
              <w:spacing w:before="40" w:after="40"/>
              <w:rPr>
                <w:sz w:val="18"/>
              </w:rPr>
            </w:pPr>
            <w:r>
              <w:rPr>
                <w:sz w:val="18"/>
                <w:szCs w:val="18"/>
              </w:rPr>
              <w:t xml:space="preserve">RT-06.32</w:t>
            </w:r>
          </w:p>
        </w:tc>
        <w:tc>
          <w:tcPr>
            <w:tcW w:w="2337" w:type="dxa"/>
            <w:vAlign w:val="top"/>
          </w:tcPr>
          <w:p>
            <w:pPr>
              <w:spacing w:before="40" w:after="40"/>
              <w:rPr>
                <w:sz w:val="18"/>
              </w:rPr>
            </w:pPr>
            <w:r>
              <w:rPr>
                <w:sz w:val="18"/>
                <w:szCs w:val="18"/>
              </w:rPr>
              <w:t xml:space="preserve">Verificar</w:t>
            </w:r>
          </w:p>
        </w:tc>
      </w:tr>
    </w:tbl>
    <w:p>
      <w:pPr>
        <w:spacing w:before="0" w:after="100"/>
      </w:pPr>
    </w:p>
    <w:p>
      <w:pPr>
        <w:pStyle w:val="Heading3"/>
        <w:keepNext/>
        <w:spacing w:before="200" w:after="80"/>
      </w:pPr>
      <w:r>
        <w:t xml:space="preserve">5.9.6 La jugada de sostenibilidad — dos ítems con un párrafo</w:t>
      </w:r>
    </w:p>
    <w:p>
      <w:pPr>
        <w:spacing w:before="0" w:after="140" w:line="264" w:lineRule="auto"/>
      </w:pPr>
      <w:r>
        <w:rPr>
          <w:b/>
        </w:rPr>
        <w:t xml:space="preserve">RT-06.34</w:t>
      </w:r>
      <w:r>
        <w:t xml:space="preserve"> (pág. 17/51, deseable):</w:t>
      </w:r>
    </w:p>
    <w:p>
      <w:pPr>
        <w:shd w:val="clear" w:fill="F4F7FB"/>
        <w:pBdr>
          <w:left w:val="single" w:sz="18" w:space="8" w:color="9CC3F5"/>
        </w:pBdr>
        <w:ind w:left="200"/>
        <w:spacing w:before="100" w:after="140"/>
      </w:pPr>
      <w:r>
        <w:rPr>
          <w:sz w:val="21"/>
          <w:szCs w:val="21"/>
        </w:rPr>
        <w:t xml:space="preserve">«Se privilegiará al PROPONENTE que ofrezca o provea especificaciones nuevas o </w:t>
      </w:r>
      <w:r>
        <w:rPr>
          <w:b/>
          <w:sz w:val="21"/>
          <w:szCs w:val="21"/>
        </w:rPr>
        <w:t xml:space="preserve">mejores</w:t>
      </w:r>
      <w:r>
        <w:rPr>
          <w:sz w:val="21"/>
          <w:szCs w:val="21"/>
        </w:rPr>
        <w:t xml:space="preserve"> que las aquí establecidas, debidamente fundamentadas.»</w:t>
      </w:r>
    </w:p>
    <w:p>
      <w:pPr>
        <w:spacing w:before="0" w:after="140" w:line="264" w:lineRule="auto"/>
      </w:pPr>
      <w:r>
        <w:t xml:space="preserve">RT-06.17 pide «FM-200 </w:t>
      </w:r>
      <w:r>
        <w:rPr>
          <w:b/>
        </w:rPr>
        <w:t xml:space="preserve">o equivalente</w:t>
      </w:r>
      <w:r>
        <w:t xml:space="preserve">». El FM-200 (HFC-227ea) </w:t>
      </w:r>
      <w:r>
        <w:rPr>
          <w:b/>
        </w:rPr>
        <w:t xml:space="preserve">[?]</w:t>
      </w:r>
      <w:r>
        <w:t xml:space="preserve"> es un hidrofluorocarbono de alto potencial de calentamiento global, en retirada progresiva por regulación ambiental. La alternativa habitual hoy es </w:t>
      </w:r>
      <w:r>
        <w:rPr>
          <w:b/>
        </w:rPr>
        <w:t xml:space="preserve">FK-5-1-12 [?]</w:t>
      </w:r>
      <w:r>
        <w:t xml:space="preserve"> o sistemas inertes de nitrógeno/argón. </w:t>
      </w:r>
      <w:r>
        <w:rPr>
          <w:i/>
        </w:rPr>
        <w:t xml:space="preserve">Ambas afirmaciones sobre agentes de extinción están escritas de memoria: verificar la composición y el estado regulatorio antes de citarlas.</w:t>
      </w:r>
    </w:p>
    <w:p>
      <w:pPr>
        <w:spacing w:before="0" w:after="140" w:line="264" w:lineRule="auto"/>
      </w:pPr>
      <w:r>
        <w:t xml:space="preserve">Y </w:t>
      </w:r>
      <w:r>
        <w:rPr>
          <w:b/>
        </w:rPr>
        <w:t xml:space="preserve">RT-15.03</w:t>
      </w:r>
      <w:r>
        <w:t xml:space="preserve"> (pág. 27/51, obligatorio) exige estimar la huella de carbono anual de la operación de la solución y declarar la metodología.</w:t>
      </w:r>
    </w:p>
    <w:p>
      <w:pPr>
        <w:spacing w:before="0" w:after="140" w:line="264" w:lineRule="auto"/>
      </w:pPr>
      <w:r>
        <w:t xml:space="preserve">→ </w:t>
      </w:r>
      <w:r>
        <w:rPr>
          <w:b/>
        </w:rPr>
        <w:t xml:space="preserve">Proponer el agente de bajo GWP suma en RT-06.34 y en el Cap. 15 con el mismo párrafo.</w:t>
      </w:r>
      <w:r>
        <w:t xml:space="preserve"> Es un detalle chico que se nota.</w:t>
      </w:r>
    </w:p>
    <w:p>
      <w:pPr>
        <w:pBdr>
          <w:bottom w:val="single" w:sz="6" w:space="1" w:color="C8D2DE"/>
        </w:pBdr>
        <w:spacing w:before="160" w:after="160"/>
      </w:pPr>
    </w:p>
    <w:p>
      <w:pPr>
        <w:pStyle w:val="Heading2"/>
        <w:keepNext/>
        <w:spacing w:before="260" w:after="100"/>
      </w:pPr>
      <w:r>
        <w:t xml:space="preserve">5.10 Red y enlaces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Elemento</w:t>
            </w:r>
          </w:p>
        </w:tc>
        <w:tc>
          <w:tcPr>
            <w:tcW w:w="3116" w:type="dxa"/>
            <w:shd w:val="clear" w:fill="EDF2F8"/>
            <w:vAlign w:val="top"/>
          </w:tcPr>
          <w:p>
            <w:pPr>
              <w:spacing w:before="40" w:after="40"/>
              <w:rPr>
                <w:sz w:val="18"/>
              </w:rPr>
            </w:pPr>
            <w:r>
              <w:rPr>
                <w:b/>
                <w:sz w:val="18"/>
                <w:szCs w:val="18"/>
              </w:rPr>
              <w:t xml:space="preserve">Especificación</w:t>
            </w:r>
          </w:p>
        </w:tc>
        <w:tc>
          <w:tcPr>
            <w:tcW w:w="3116" w:type="dxa"/>
            <w:shd w:val="clear" w:fill="EDF2F8"/>
            <w:vAlign w:val="top"/>
          </w:tcPr>
          <w:p>
            <w:pPr>
              <w:spacing w:before="40" w:after="40"/>
              <w:rPr>
                <w:sz w:val="18"/>
              </w:rPr>
            </w:pPr>
            <w:r>
              <w:rPr>
                <w:b/>
                <w:sz w:val="18"/>
                <w:szCs w:val="18"/>
              </w:rPr>
              <w:t xml:space="preserve">Requisito</w:t>
            </w:r>
          </w:p>
        </w:tc>
      </w:tr>
      <w:tr>
        <w:trPr>
          <w:cantSplit/>
        </w:trPr>
        <w:tc>
          <w:tcPr>
            <w:tcW w:w="3116" w:type="dxa"/>
            <w:vAlign w:val="top"/>
          </w:tcPr>
          <w:p>
            <w:pPr>
              <w:spacing w:before="40" w:after="40"/>
              <w:rPr>
                <w:sz w:val="18"/>
              </w:rPr>
            </w:pPr>
            <w:r>
              <w:rPr>
                <w:sz w:val="18"/>
                <w:szCs w:val="18"/>
              </w:rPr>
              <w:t xml:space="preserve">San Bernardo ↔ Azure</w:t>
            </w:r>
          </w:p>
        </w:tc>
        <w:tc>
          <w:tcPr>
            <w:tcW w:w="3116" w:type="dxa"/>
            <w:vAlign w:val="top"/>
          </w:tcPr>
          <w:p>
            <w:pPr>
              <w:spacing w:before="40" w:after="40"/>
              <w:rPr>
                <w:sz w:val="18"/>
              </w:rPr>
            </w:pPr>
            <w:r>
              <w:rPr>
                <w:sz w:val="18"/>
                <w:szCs w:val="18"/>
              </w:rPr>
              <w:t xml:space="preserve">Enlace redundante con </w:t>
            </w:r>
            <w:r>
              <w:rPr>
                <w:b/>
                <w:sz w:val="18"/>
                <w:szCs w:val="18"/>
              </w:rPr>
              <w:t xml:space="preserve">caminos físicos y proveedores distintos</w:t>
            </w:r>
            <w:r>
              <w:rPr>
                <w:sz w:val="18"/>
                <w:szCs w:val="18"/>
              </w:rPr>
              <w:t xml:space="preserve">, conmutación automática con tiempo declarado</w:t>
            </w:r>
          </w:p>
        </w:tc>
        <w:tc>
          <w:tcPr>
            <w:tcW w:w="3116" w:type="dxa"/>
            <w:vAlign w:val="top"/>
          </w:tcPr>
          <w:p>
            <w:pPr>
              <w:spacing w:before="40" w:after="40"/>
              <w:rPr>
                <w:sz w:val="18"/>
              </w:rPr>
            </w:pPr>
            <w:r>
              <w:rPr>
                <w:b/>
                <w:sz w:val="18"/>
                <w:szCs w:val="18"/>
              </w:rPr>
              <w:t xml:space="preserve">RT-03.17</w:t>
            </w:r>
          </w:p>
        </w:tc>
      </w:tr>
      <w:tr>
        <w:trPr>
          <w:cantSplit/>
        </w:trPr>
        <w:tc>
          <w:tcPr>
            <w:tcW w:w="3116" w:type="dxa"/>
            <w:vAlign w:val="top"/>
          </w:tcPr>
          <w:p>
            <w:pPr>
              <w:spacing w:before="40" w:after="40"/>
              <w:rPr>
                <w:sz w:val="18"/>
              </w:rPr>
            </w:pPr>
            <w:r>
              <w:rPr>
                <w:sz w:val="18"/>
                <w:szCs w:val="18"/>
              </w:rPr>
              <w:t xml:space="preserve">San Bernardo ↔ Azure</w:t>
            </w:r>
          </w:p>
        </w:tc>
        <w:tc>
          <w:tcPr>
            <w:tcW w:w="3116" w:type="dxa"/>
            <w:vAlign w:val="top"/>
          </w:tcPr>
          <w:p>
            <w:pPr>
              <w:spacing w:before="40" w:after="40"/>
              <w:rPr>
                <w:sz w:val="18"/>
              </w:rPr>
            </w:pPr>
            <w:r>
              <w:rPr>
                <w:sz w:val="18"/>
                <w:szCs w:val="18"/>
              </w:rPr>
              <w:t xml:space="preserve">Enlace privado dedicado o VPN cifrada según volumen y criticidad</w:t>
            </w:r>
          </w:p>
        </w:tc>
        <w:tc>
          <w:tcPr>
            <w:tcW w:w="3116" w:type="dxa"/>
            <w:vAlign w:val="top"/>
          </w:tcPr>
          <w:p>
            <w:pPr>
              <w:spacing w:before="40" w:after="40"/>
              <w:rPr>
                <w:sz w:val="18"/>
              </w:rPr>
            </w:pPr>
            <w:r>
              <w:rPr>
                <w:sz w:val="18"/>
                <w:szCs w:val="18"/>
              </w:rPr>
              <w:t xml:space="preserve">RT-03.21</w:t>
            </w:r>
          </w:p>
        </w:tc>
      </w:tr>
      <w:tr>
        <w:trPr>
          <w:cantSplit/>
        </w:trPr>
        <w:tc>
          <w:tcPr>
            <w:tcW w:w="3116" w:type="dxa"/>
            <w:vAlign w:val="top"/>
          </w:tcPr>
          <w:p>
            <w:pPr>
              <w:spacing w:before="40" w:after="40"/>
              <w:rPr>
                <w:sz w:val="18"/>
              </w:rPr>
            </w:pPr>
            <w:r>
              <w:rPr>
                <w:sz w:val="18"/>
                <w:szCs w:val="18"/>
              </w:rPr>
              <w:t xml:space="preserve">4 terminales regionales</w:t>
            </w:r>
          </w:p>
        </w:tc>
        <w:tc>
          <w:tcPr>
            <w:tcW w:w="3116" w:type="dxa"/>
            <w:vAlign w:val="top"/>
          </w:tcPr>
          <w:p>
            <w:pPr>
              <w:spacing w:before="40" w:after="40"/>
              <w:rPr>
                <w:sz w:val="18"/>
              </w:rPr>
            </w:pPr>
            <w:r>
              <w:rPr>
                <w:b/>
                <w:sz w:val="18"/>
                <w:szCs w:val="18"/>
              </w:rPr>
              <w:t xml:space="preserve">Respaldo de enlace</w:t>
            </w:r>
            <w:r>
              <w:rPr>
                <w:sz w:val="18"/>
                <w:szCs w:val="18"/>
              </w:rPr>
              <w:t xml:space="preserve">, que tres de los cuatro no tienen hoy</w:t>
            </w:r>
          </w:p>
        </w:tc>
        <w:tc>
          <w:tcPr>
            <w:tcW w:w="3116" w:type="dxa"/>
            <w:vAlign w:val="top"/>
          </w:tcPr>
          <w:p>
            <w:pPr>
              <w:spacing w:before="40" w:after="40"/>
              <w:rPr>
                <w:sz w:val="18"/>
              </w:rPr>
            </w:pPr>
            <w:r>
              <w:rPr>
                <w:sz w:val="18"/>
                <w:szCs w:val="18"/>
              </w:rPr>
              <w:t xml:space="preserve">Cap. 15 del Caso, pág. 31/49</w:t>
            </w:r>
          </w:p>
        </w:tc>
      </w:tr>
      <w:tr>
        <w:trPr>
          <w:cantSplit/>
        </w:trPr>
        <w:tc>
          <w:tcPr>
            <w:tcW w:w="3116" w:type="dxa"/>
            <w:vAlign w:val="top"/>
          </w:tcPr>
          <w:p>
            <w:pPr>
              <w:spacing w:before="40" w:after="40"/>
              <w:rPr>
                <w:sz w:val="18"/>
              </w:rPr>
            </w:pPr>
            <w:r>
              <w:rPr>
                <w:sz w:val="18"/>
                <w:szCs w:val="18"/>
              </w:rPr>
              <w:t xml:space="preserve">Ancho de banda</w:t>
            </w:r>
          </w:p>
        </w:tc>
        <w:tc>
          <w:tcPr>
            <w:tcW w:w="3116" w:type="dxa"/>
            <w:vAlign w:val="top"/>
          </w:tcPr>
          <w:p>
            <w:pPr>
              <w:spacing w:before="40" w:after="40"/>
              <w:rPr>
                <w:sz w:val="18"/>
              </w:rPr>
            </w:pPr>
            <w:r>
              <w:rPr>
                <w:sz w:val="18"/>
                <w:szCs w:val="18"/>
              </w:rPr>
              <w:t xml:space="preserve">Dimensionado por sitio, en régimen normal y en peak, </w:t>
            </w:r>
            <w:r>
              <w:rPr>
                <w:b/>
                <w:sz w:val="18"/>
                <w:szCs w:val="18"/>
              </w:rPr>
              <w:t xml:space="preserve">justificado con el cálculo de volumen</w:t>
            </w:r>
          </w:p>
        </w:tc>
        <w:tc>
          <w:tcPr>
            <w:tcW w:w="3116" w:type="dxa"/>
            <w:vAlign w:val="top"/>
          </w:tcPr>
          <w:p>
            <w:pPr>
              <w:spacing w:before="40" w:after="40"/>
              <w:rPr>
                <w:sz w:val="18"/>
              </w:rPr>
            </w:pPr>
            <w:r>
              <w:rPr>
                <w:sz w:val="18"/>
                <w:szCs w:val="18"/>
              </w:rPr>
              <w:t xml:space="preserve">RT-03.20 · Cap. 14.2</w:t>
            </w:r>
          </w:p>
        </w:tc>
      </w:tr>
      <w:tr>
        <w:trPr>
          <w:cantSplit/>
        </w:trPr>
        <w:tc>
          <w:tcPr>
            <w:tcW w:w="3116" w:type="dxa"/>
            <w:vAlign w:val="top"/>
          </w:tcPr>
          <w:p>
            <w:pPr>
              <w:spacing w:before="40" w:after="40"/>
              <w:rPr>
                <w:sz w:val="18"/>
              </w:rPr>
            </w:pPr>
            <w:r>
              <w:rPr>
                <w:sz w:val="18"/>
                <w:szCs w:val="18"/>
              </w:rPr>
              <w:t xml:space="preserve">Acceso remoto del personal</w:t>
            </w:r>
          </w:p>
        </w:tc>
        <w:tc>
          <w:tcPr>
            <w:tcW w:w="3116" w:type="dxa"/>
            <w:vAlign w:val="top"/>
          </w:tcPr>
          <w:p>
            <w:pPr>
              <w:spacing w:before="40" w:after="40"/>
              <w:rPr>
                <w:sz w:val="18"/>
              </w:rPr>
            </w:pPr>
            <w:r>
              <w:rPr>
                <w:sz w:val="18"/>
                <w:szCs w:val="18"/>
              </w:rPr>
              <w:t xml:space="preserve">Acceso a la red de confianza cero con verificación de postura. </w:t>
            </w:r>
            <w:r>
              <w:rPr>
                <w:b/>
                <w:sz w:val="18"/>
                <w:szCs w:val="18"/>
              </w:rPr>
              <w:t xml:space="preserve">«No se admite exponer servicios internos directamente a Internet»</w:t>
            </w:r>
          </w:p>
        </w:tc>
        <w:tc>
          <w:tcPr>
            <w:tcW w:w="3116" w:type="dxa"/>
            <w:vAlign w:val="top"/>
          </w:tcPr>
          <w:p>
            <w:pPr>
              <w:spacing w:before="40" w:after="40"/>
              <w:rPr>
                <w:sz w:val="18"/>
              </w:rPr>
            </w:pPr>
            <w:r>
              <w:rPr>
                <w:sz w:val="18"/>
                <w:szCs w:val="18"/>
              </w:rPr>
              <w:t xml:space="preserve">RT-03.22</w:t>
            </w:r>
          </w:p>
        </w:tc>
      </w:tr>
      <w:tr>
        <w:trPr>
          <w:cantSplit/>
        </w:trPr>
        <w:tc>
          <w:tcPr>
            <w:tcW w:w="3116" w:type="dxa"/>
            <w:vAlign w:val="top"/>
          </w:tcPr>
          <w:p>
            <w:pPr>
              <w:spacing w:before="40" w:after="40"/>
              <w:rPr>
                <w:sz w:val="18"/>
              </w:rPr>
            </w:pPr>
            <w:r>
              <w:rPr>
                <w:sz w:val="18"/>
                <w:szCs w:val="18"/>
              </w:rPr>
              <w:t xml:space="preserve">Segmentación</w:t>
            </w:r>
          </w:p>
        </w:tc>
        <w:tc>
          <w:tcPr>
            <w:tcW w:w="3116" w:type="dxa"/>
            <w:vAlign w:val="top"/>
          </w:tcPr>
          <w:p>
            <w:pPr>
              <w:spacing w:before="40" w:after="40"/>
              <w:rPr>
                <w:sz w:val="18"/>
              </w:rPr>
            </w:pPr>
            <w:r>
              <w:rPr>
                <w:sz w:val="18"/>
                <w:szCs w:val="18"/>
              </w:rPr>
              <w:t xml:space="preserve">Subredes privadas para aplicación y datos. </w:t>
            </w:r>
            <w:r>
              <w:rPr>
                <w:b/>
                <w:sz w:val="18"/>
                <w:szCs w:val="18"/>
              </w:rPr>
              <w:t xml:space="preserve">«Ningún componente de datos será alcanzable desde Internet»</w:t>
            </w:r>
          </w:p>
        </w:tc>
        <w:tc>
          <w:tcPr>
            <w:tcW w:w="3116" w:type="dxa"/>
            <w:vAlign w:val="top"/>
          </w:tcPr>
          <w:p>
            <w:pPr>
              <w:spacing w:before="40" w:after="40"/>
              <w:rPr>
                <w:sz w:val="18"/>
              </w:rPr>
            </w:pPr>
            <w:r>
              <w:rPr>
                <w:sz w:val="18"/>
                <w:szCs w:val="18"/>
              </w:rPr>
              <w:t xml:space="preserve">RT-03.04</w:t>
            </w:r>
          </w:p>
        </w:tc>
      </w:tr>
    </w:tbl>
    <w:p>
      <w:pPr>
        <w:spacing w:before="0" w:after="100"/>
      </w:pPr>
    </w:p>
    <w:p>
      <w:pPr>
        <w:pStyle w:val="Heading3"/>
        <w:keepNext/>
        <w:spacing w:before="200" w:after="80"/>
      </w:pPr>
      <w:r>
        <w:t xml:space="preserve">La campaña de medición de cobertura — actividad con costo y plazo</w:t>
      </w:r>
    </w:p>
    <w:p>
      <w:pPr>
        <w:spacing w:before="0" w:after="140" w:line="264" w:lineRule="auto"/>
      </w:pPr>
      <w:r>
        <w:t xml:space="preserve">Cap. 15 del Caso, pág. 31/49, entrada «Red de los sitios operacionales»:</w:t>
      </w:r>
    </w:p>
    <w:p>
      <w:pPr>
        <w:shd w:val="clear" w:fill="F4F7FB"/>
        <w:pBdr>
          <w:left w:val="single" w:sz="18" w:space="8" w:color="9CC3F5"/>
        </w:pBdr>
        <w:ind w:left="200"/>
        <w:spacing w:before="100" w:after="140"/>
      </w:pPr>
      <w:r>
        <w:rPr>
          <w:sz w:val="21"/>
          <w:szCs w:val="21"/>
        </w:rPr>
        <w:t xml:space="preserve">«con carácter propio de este caso, se exige </w:t>
      </w:r>
      <w:r>
        <w:rPr>
          <w:b/>
          <w:sz w:val="21"/>
          <w:szCs w:val="21"/>
        </w:rPr>
        <w:t xml:space="preserve">caracterizar la cobertura móvil real de las rutas que la compañía opera mediante mediciones en terreno, y no suponerla</w:t>
      </w:r>
      <w:r>
        <w:rPr>
          <w:sz w:val="21"/>
          <w:szCs w:val="21"/>
        </w:rPr>
        <w:t xml:space="preserve">: la disponibilidad declarada por los operadores </w:t>
      </w:r>
      <w:r>
        <w:rPr>
          <w:b/>
          <w:sz w:val="21"/>
          <w:szCs w:val="21"/>
        </w:rPr>
        <w:t xml:space="preserve">no es un antecedente aceptable</w:t>
      </w:r>
      <w:r>
        <w:rPr>
          <w:sz w:val="21"/>
          <w:szCs w:val="21"/>
        </w:rPr>
        <w:t xml:space="preserve"> para el diseño.»</w:t>
      </w:r>
    </w:p>
    <w:p>
      <w:pPr>
        <w:spacing w:before="0" w:after="140" w:line="264" w:lineRule="auto"/>
      </w:pPr>
      <w:r>
        <w:t xml:space="preserve">Esto no es una nota al margen: es la razón por la cual </w:t>
      </w:r>
      <w:r>
        <w:rPr>
          <w:b/>
        </w:rPr>
        <w:t xml:space="preserve">no podemos poner un número de unidades satelitales en el Informe 1</w:t>
      </w:r>
      <w:r>
        <w:t xml:space="preserve">. Se escribe como actividad de Etapa 1, con costo, plazo, método —recorrido instrumentado de las rutas con registro de nivel de señal por operador y por tecnología— y entregable: mapa de sombras georreferenciado.</w:t>
      </w:r>
    </w:p>
    <w:p>
      <w:pPr>
        <w:spacing w:before="0" w:after="140" w:line="264" w:lineRule="auto"/>
      </w:pPr>
      <w:r>
        <w:t xml:space="preserve">Ese mismo recorrido produce el </w:t>
      </w:r>
      <w:r>
        <w:rPr>
          <w:b/>
        </w:rPr>
        <w:t xml:space="preserve">catálogo de lugares seguros de detención</w:t>
      </w:r>
      <w:r>
        <w:t xml:space="preserve"> que el criterio 28 necesita. </w:t>
      </w:r>
      <w:r>
        <w:rPr>
          <w:b/>
        </w:rPr>
        <w:t xml:space="preserve">Una campaña, dos entregables.</w:t>
      </w:r>
      <w:r>
        <w:t xml:space="preserve"> Vale la pena decirlo así.</w:t>
      </w:r>
    </w:p>
    <w:p>
      <w:pPr>
        <w:pBdr>
          <w:bottom w:val="single" w:sz="6" w:space="1" w:color="C8D2DE"/>
        </w:pBdr>
        <w:spacing w:before="160" w:after="160"/>
      </w:pPr>
    </w:p>
    <w:p>
      <w:pPr>
        <w:pBdr>
          <w:bottom w:val="single" w:sz="6" w:space="1" w:color="C8D2DE"/>
        </w:pBdr>
        <w:spacing w:before="160" w:after="160"/>
      </w:pPr>
    </w:p>
    <w:p>
      <w:pPr>
        <w:pStyle w:val="Heading2"/>
        <w:keepNext/>
        <w:spacing w:before="260" w:after="100"/>
      </w:pPr>
      <w:r>
        <w:t xml:space="preserve">5.11 Respaldos, continuidad de datos y recuperación — Cap. 7.3</w:t>
      </w:r>
    </w:p>
    <w:p>
      <w:pPr>
        <w:spacing w:before="0" w:after="140" w:line="264" w:lineRule="auto"/>
      </w:pPr>
      <w:r>
        <w:rPr>
          <w:b/>
        </w:rPr>
        <w:t xml:space="preserve">Ninguno de estos requisitos estaba cubierto y todos son obligatorios.</w:t>
      </w:r>
    </w:p>
    <w:p>
      <w:pPr>
        <w:pStyle w:val="Heading3"/>
        <w:keepNext/>
        <w:spacing w:before="200" w:after="80"/>
      </w:pPr>
      <w:r>
        <w:t xml:space="preserve">RT-07.09 — el esquema 3-2-1-1-0</w:t>
      </w:r>
    </w:p>
    <w:p>
      <w:pPr>
        <w:spacing w:before="0" w:after="140" w:line="264" w:lineRule="auto"/>
      </w:pPr>
      <w:r>
        <w:t xml:space="preserve">Textual (pág. 18/51): «La política de respaldo seguirá el esquema </w:t>
      </w:r>
      <w:r>
        <w:rPr>
          <w:b/>
        </w:rPr>
        <w:t xml:space="preserve">3-2-1-1-0</w:t>
      </w:r>
      <w:r>
        <w:t xml:space="preserve">: tres copias, en dos medios distintos, una fuera de sitio, una inmutable o fuera de línea y cero errores de verificación de restauración.»</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Elemento</w:t>
            </w:r>
          </w:p>
        </w:tc>
        <w:tc>
          <w:tcPr>
            <w:tcW w:w="3116" w:type="dxa"/>
            <w:shd w:val="clear" w:fill="EDF2F8"/>
            <w:vAlign w:val="top"/>
          </w:tcPr>
          <w:p>
            <w:pPr>
              <w:spacing w:before="40" w:after="40"/>
              <w:rPr>
                <w:sz w:val="18"/>
              </w:rPr>
            </w:pPr>
            <w:r>
              <w:rPr>
                <w:b/>
                <w:sz w:val="18"/>
                <w:szCs w:val="18"/>
              </w:rPr>
              <w:t xml:space="preserve">Implementación propuesta</w:t>
            </w:r>
          </w:p>
        </w:tc>
        <w:tc>
          <w:tcPr>
            <w:tcW w:w="3116" w:type="dxa"/>
            <w:shd w:val="clear" w:fill="EDF2F8"/>
            <w:vAlign w:val="top"/>
          </w:tcPr>
          <w:p>
            <w:pPr>
              <w:spacing w:before="40" w:after="40"/>
              <w:rPr>
                <w:sz w:val="18"/>
              </w:rPr>
            </w:pPr>
            <w:r>
              <w:rPr>
                <w:b/>
                <w:sz w:val="18"/>
                <w:szCs w:val="18"/>
              </w:rPr>
              <w:t xml:space="preserve">Requisito ligado</w:t>
            </w:r>
          </w:p>
        </w:tc>
      </w:tr>
      <w:tr>
        <w:trPr>
          <w:cantSplit/>
        </w:trPr>
        <w:tc>
          <w:tcPr>
            <w:tcW w:w="3116" w:type="dxa"/>
            <w:vAlign w:val="top"/>
          </w:tcPr>
          <w:p>
            <w:pPr>
              <w:spacing w:before="40" w:after="40"/>
              <w:rPr>
                <w:sz w:val="18"/>
              </w:rPr>
            </w:pPr>
            <w:r>
              <w:rPr>
                <w:sz w:val="18"/>
                <w:szCs w:val="18"/>
              </w:rPr>
              <w:t xml:space="preserve">3 copias</w:t>
            </w:r>
          </w:p>
        </w:tc>
        <w:tc>
          <w:tcPr>
            <w:tcW w:w="3116" w:type="dxa"/>
            <w:vAlign w:val="top"/>
          </w:tcPr>
          <w:p>
            <w:pPr>
              <w:spacing w:before="40" w:after="40"/>
              <w:rPr>
                <w:sz w:val="18"/>
              </w:rPr>
            </w:pPr>
            <w:r>
              <w:rPr>
                <w:sz w:val="18"/>
                <w:szCs w:val="18"/>
              </w:rPr>
              <w:t xml:space="preserve">Producción en Azure + réplica en 2.ª región + copia en San Bernardo</w:t>
            </w:r>
          </w:p>
        </w:tc>
        <w:tc>
          <w:tcPr>
            <w:tcW w:w="3116" w:type="dxa"/>
            <w:vAlign w:val="top"/>
          </w:tcPr>
          <w:p>
            <w:pPr>
              <w:spacing w:before="40" w:after="40"/>
              <w:rPr>
                <w:sz w:val="18"/>
              </w:rPr>
            </w:pPr>
            <w:r>
              <w:rPr>
                <w:sz w:val="18"/>
                <w:szCs w:val="18"/>
              </w:rPr>
              <w:t xml:space="preserve">RT-07.03</w:t>
            </w:r>
          </w:p>
        </w:tc>
      </w:tr>
      <w:tr>
        <w:trPr>
          <w:cantSplit/>
        </w:trPr>
        <w:tc>
          <w:tcPr>
            <w:tcW w:w="3116" w:type="dxa"/>
            <w:vAlign w:val="top"/>
          </w:tcPr>
          <w:p>
            <w:pPr>
              <w:spacing w:before="40" w:after="40"/>
              <w:rPr>
                <w:sz w:val="18"/>
              </w:rPr>
            </w:pPr>
            <w:r>
              <w:rPr>
                <w:sz w:val="18"/>
                <w:szCs w:val="18"/>
              </w:rPr>
              <w:t xml:space="preserve">2 medios distintos</w:t>
            </w:r>
          </w:p>
        </w:tc>
        <w:tc>
          <w:tcPr>
            <w:tcW w:w="3116" w:type="dxa"/>
            <w:vAlign w:val="top"/>
          </w:tcPr>
          <w:p>
            <w:pPr>
              <w:spacing w:before="40" w:after="40"/>
              <w:rPr>
                <w:sz w:val="18"/>
              </w:rPr>
            </w:pPr>
            <w:r>
              <w:rPr>
                <w:sz w:val="18"/>
                <w:szCs w:val="18"/>
              </w:rPr>
              <w:t xml:space="preserve">Almacenamiento de objetos en nube + medio físico transportable</w:t>
            </w:r>
          </w:p>
        </w:tc>
        <w:tc>
          <w:tcPr>
            <w:tcW w:w="3116" w:type="dxa"/>
            <w:vAlign w:val="top"/>
          </w:tcPr>
          <w:p>
            <w:pPr>
              <w:spacing w:before="40" w:after="40"/>
              <w:rPr>
                <w:sz w:val="18"/>
              </w:rPr>
            </w:pPr>
            <w:r>
              <w:rPr>
                <w:sz w:val="18"/>
                <w:szCs w:val="18"/>
              </w:rPr>
              <w:t xml:space="preserve">RT-06.26</w:t>
            </w:r>
          </w:p>
        </w:tc>
      </w:tr>
      <w:tr>
        <w:trPr>
          <w:cantSplit/>
        </w:trPr>
        <w:tc>
          <w:tcPr>
            <w:tcW w:w="3116" w:type="dxa"/>
            <w:vAlign w:val="top"/>
          </w:tcPr>
          <w:p>
            <w:pPr>
              <w:spacing w:before="40" w:after="40"/>
              <w:rPr>
                <w:sz w:val="18"/>
              </w:rPr>
            </w:pPr>
            <w:r>
              <w:rPr>
                <w:sz w:val="18"/>
                <w:szCs w:val="18"/>
              </w:rPr>
              <w:t xml:space="preserve">1 fuera de sitio</w:t>
            </w:r>
          </w:p>
        </w:tc>
        <w:tc>
          <w:tcPr>
            <w:tcW w:w="3116" w:type="dxa"/>
            <w:vAlign w:val="top"/>
          </w:tcPr>
          <w:p>
            <w:pPr>
              <w:spacing w:before="40" w:after="40"/>
              <w:rPr>
                <w:sz w:val="18"/>
              </w:rPr>
            </w:pPr>
            <w:r>
              <w:rPr>
                <w:sz w:val="18"/>
                <w:szCs w:val="18"/>
              </w:rPr>
              <w:t xml:space="preserve">La 2.ª región Azure y la custodia externa de medios</w:t>
            </w:r>
          </w:p>
        </w:tc>
        <w:tc>
          <w:tcPr>
            <w:tcW w:w="3116" w:type="dxa"/>
            <w:vAlign w:val="top"/>
          </w:tcPr>
          <w:p>
            <w:pPr>
              <w:spacing w:before="40" w:after="40"/>
              <w:rPr>
                <w:sz w:val="18"/>
              </w:rPr>
            </w:pPr>
            <w:r>
              <w:rPr>
                <w:sz w:val="18"/>
                <w:szCs w:val="18"/>
              </w:rPr>
              <w:t xml:space="preserve">RT-07.02</w:t>
            </w:r>
          </w:p>
        </w:tc>
      </w:tr>
      <w:tr>
        <w:trPr>
          <w:cantSplit/>
        </w:trPr>
        <w:tc>
          <w:tcPr>
            <w:tcW w:w="3116" w:type="dxa"/>
            <w:vAlign w:val="top"/>
          </w:tcPr>
          <w:p>
            <w:pPr>
              <w:spacing w:before="40" w:after="40"/>
              <w:rPr>
                <w:sz w:val="18"/>
              </w:rPr>
            </w:pPr>
            <w:r>
              <w:rPr>
                <w:sz w:val="18"/>
                <w:szCs w:val="18"/>
              </w:rPr>
              <w:t xml:space="preserve">1 inmutable o fuera de línea</w:t>
            </w:r>
          </w:p>
        </w:tc>
        <w:tc>
          <w:tcPr>
            <w:tcW w:w="3116" w:type="dxa"/>
            <w:vAlign w:val="top"/>
          </w:tcPr>
          <w:p>
            <w:pPr>
              <w:spacing w:before="40" w:after="40"/>
              <w:rPr>
                <w:sz w:val="18"/>
              </w:rPr>
            </w:pPr>
            <w:r>
              <w:rPr>
                <w:sz w:val="18"/>
                <w:szCs w:val="18"/>
              </w:rPr>
              <w:t xml:space="preserve">Almacenamiento inmutable con retención legal</w:t>
            </w:r>
          </w:p>
        </w:tc>
        <w:tc>
          <w:tcPr>
            <w:tcW w:w="3116" w:type="dxa"/>
            <w:vAlign w:val="top"/>
          </w:tcPr>
          <w:p>
            <w:pPr>
              <w:spacing w:before="40" w:after="40"/>
              <w:rPr>
                <w:sz w:val="18"/>
              </w:rPr>
            </w:pPr>
            <w:r>
              <w:rPr>
                <w:sz w:val="18"/>
                <w:szCs w:val="18"/>
              </w:rPr>
              <w:t xml:space="preserve">RT-07.11</w:t>
            </w:r>
          </w:p>
        </w:tc>
      </w:tr>
      <w:tr>
        <w:trPr>
          <w:cantSplit/>
        </w:trPr>
        <w:tc>
          <w:tcPr>
            <w:tcW w:w="3116" w:type="dxa"/>
            <w:vAlign w:val="top"/>
          </w:tcPr>
          <w:p>
            <w:pPr>
              <w:spacing w:before="40" w:after="40"/>
              <w:rPr>
                <w:sz w:val="18"/>
              </w:rPr>
            </w:pPr>
            <w:r>
              <w:rPr>
                <w:sz w:val="18"/>
                <w:szCs w:val="18"/>
              </w:rPr>
              <w:t xml:space="preserve">0 errores de verificación</w:t>
            </w:r>
          </w:p>
        </w:tc>
        <w:tc>
          <w:tcPr>
            <w:tcW w:w="3116" w:type="dxa"/>
            <w:vAlign w:val="top"/>
          </w:tcPr>
          <w:p>
            <w:pPr>
              <w:spacing w:before="40" w:after="40"/>
              <w:rPr>
                <w:sz w:val="18"/>
              </w:rPr>
            </w:pPr>
            <w:r>
              <w:rPr>
                <w:sz w:val="18"/>
                <w:szCs w:val="18"/>
              </w:rPr>
              <w:t xml:space="preserve">Prueba de restauración mensual documentada</w:t>
            </w:r>
          </w:p>
        </w:tc>
        <w:tc>
          <w:tcPr>
            <w:tcW w:w="3116" w:type="dxa"/>
            <w:vAlign w:val="top"/>
          </w:tcPr>
          <w:p>
            <w:pPr>
              <w:spacing w:before="40" w:after="40"/>
              <w:rPr>
                <w:sz w:val="18"/>
              </w:rPr>
            </w:pPr>
            <w:r>
              <w:rPr>
                <w:sz w:val="18"/>
                <w:szCs w:val="18"/>
              </w:rPr>
              <w:t xml:space="preserve">RT-07.12</w:t>
            </w:r>
          </w:p>
        </w:tc>
      </w:tr>
    </w:tbl>
    <w:p>
      <w:pPr>
        <w:spacing w:before="0" w:after="100"/>
      </w:pPr>
    </w:p>
    <w:p>
      <w:pPr>
        <w:spacing w:before="0" w:after="140" w:line="264" w:lineRule="auto"/>
      </w:pPr>
      <w:r>
        <w:rPr>
          <w:b/>
        </w:rPr>
        <w:t xml:space="preserve">Un matiz propio de este caso que conviene escribir:</w:t>
      </w:r>
      <w:r>
        <w:t xml:space="preserve"> existe una cuarta copia que nadie planificó y que está ahí igual — los 374 dispositivos a bordo conservan 72 horas del registro operacional. No sustituye al respaldo, pero es una fuente real de reconciliación ante una pérdida de datos reciente, y refuerza el argumento del borde como parte del esquema de continuidad.</w:t>
      </w:r>
    </w:p>
    <w:p>
      <w:pPr>
        <w:pStyle w:val="Heading3"/>
        <w:keepNext/>
        <w:spacing w:before="200" w:after="80"/>
      </w:pPr>
      <w:r>
        <w:t xml:space="preserve">Los demás requisitos de respaldo</w:t>
      </w:r>
    </w:p>
    <w:p>
      <w:pPr>
        <w:ind w:left="340"/>
        <w:spacing w:before="20" w:after="60"/>
      </w:pPr>
      <w:r>
        <w:t xml:space="preserve">•  </w:t>
      </w:r>
      <w:r>
        <w:rPr>
          <w:b/>
        </w:rPr>
        <w:t xml:space="preserve">RT-07.10:</w:t>
      </w:r>
      <w:r>
        <w:t xml:space="preserve"> respaldos cifrados en reposo y en tránsito, con clave gestionada **de forma</w:t>
      </w:r>
    </w:p>
    <w:p>
      <w:pPr>
        <w:spacing w:before="0" w:after="140" w:line="264" w:lineRule="auto"/>
      </w:pPr>
      <w:r>
        <w:t xml:space="preserve">independiente de la infraestructura respaldada**. Consecuencia de diseño: la clave no puede vivir en la misma suscripción que protege.</w:t>
      </w:r>
    </w:p>
    <w:p>
      <w:pPr>
        <w:ind w:left="340"/>
        <w:spacing w:before="20" w:after="60"/>
      </w:pPr>
      <w:r>
        <w:t xml:space="preserve">•  </w:t>
      </w:r>
      <w:r>
        <w:rPr>
          <w:b/>
        </w:rPr>
        <w:t xml:space="preserve">RT-07.11:</w:t>
      </w:r>
      <w:r>
        <w:t xml:space="preserve"> copias inmutables protegidas contra borrado y modificación durante su retención,</w:t>
      </w:r>
    </w:p>
    <w:p>
      <w:pPr>
        <w:spacing w:before="0" w:after="140" w:line="264" w:lineRule="auto"/>
      </w:pPr>
      <w:r>
        <w:rPr>
          <w:b/>
        </w:rPr>
        <w:t xml:space="preserve">incluso frente a credenciales administrativas comprometidas</w:t>
      </w:r>
      <w:r>
        <w:t xml:space="preserve">.</w:t>
      </w:r>
    </w:p>
    <w:p>
      <w:pPr>
        <w:ind w:left="340"/>
        <w:spacing w:before="20" w:after="60"/>
      </w:pPr>
      <w:r>
        <w:t xml:space="preserve">•  </w:t>
      </w:r>
      <w:r>
        <w:rPr>
          <w:b/>
        </w:rPr>
        <w:t xml:space="preserve">RT-07.12:</w:t>
      </w:r>
      <w:r>
        <w:t xml:space="preserve"> prueba de restauración </w:t>
      </w:r>
      <w:r>
        <w:rPr>
          <w:b/>
        </w:rPr>
        <w:t xml:space="preserve">al menos mensual</w:t>
      </w:r>
      <w:r>
        <w:t xml:space="preserve">, sobre muestra representativa, con</w:t>
      </w:r>
    </w:p>
    <w:p>
      <w:pPr>
        <w:spacing w:before="0" w:after="140" w:line="264" w:lineRule="auto"/>
      </w:pPr>
      <w:r>
        <w:t xml:space="preserve">medición del tiempo efectivo de restauración.</w:t>
      </w:r>
    </w:p>
    <w:p>
      <w:pPr>
        <w:ind w:left="340"/>
        <w:spacing w:before="20" w:after="60"/>
      </w:pPr>
      <w:r>
        <w:t xml:space="preserve">•  </w:t>
      </w:r>
      <w:r>
        <w:rPr>
          <w:b/>
        </w:rPr>
        <w:t xml:space="preserve">RT-07.13:</w:t>
      </w:r>
      <w:r>
        <w:t xml:space="preserve"> declarar </w:t>
      </w:r>
      <w:r>
        <w:rPr>
          <w:b/>
        </w:rPr>
        <w:t xml:space="preserve">por cada dominio de datos</w:t>
      </w:r>
      <w:r>
        <w:t xml:space="preserve"> la frecuencia de respaldo, el período de</w:t>
      </w:r>
    </w:p>
    <w:p>
      <w:pPr>
        <w:spacing w:before="0" w:after="140" w:line="264" w:lineRule="auto"/>
      </w:pPr>
      <w:r>
        <w:t xml:space="preserve">retención y el tiempo estimado de restauración completa. Es una tabla obligatoria y se cruza con RT-05.10 del Caso (pág. 31/49):</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Dominio de datos</w:t>
            </w:r>
          </w:p>
        </w:tc>
        <w:tc>
          <w:tcPr>
            <w:tcW w:w="4675" w:type="dxa"/>
            <w:shd w:val="clear" w:fill="EDF2F8"/>
            <w:vAlign w:val="top"/>
          </w:tcPr>
          <w:p>
            <w:pPr>
              <w:spacing w:before="40" w:after="40"/>
              <w:rPr>
                <w:sz w:val="18"/>
              </w:rPr>
            </w:pPr>
            <w:r>
              <w:rPr>
                <w:b/>
                <w:sz w:val="18"/>
                <w:szCs w:val="18"/>
              </w:rPr>
              <w:t xml:space="preserve">Retención exigida</w:t>
            </w:r>
          </w:p>
        </w:tc>
      </w:tr>
      <w:tr>
        <w:trPr>
          <w:cantSplit/>
        </w:trPr>
        <w:tc>
          <w:tcPr>
            <w:tcW w:w="4675" w:type="dxa"/>
            <w:vAlign w:val="top"/>
          </w:tcPr>
          <w:p>
            <w:pPr>
              <w:spacing w:before="40" w:after="40"/>
              <w:rPr>
                <w:sz w:val="18"/>
              </w:rPr>
            </w:pPr>
            <w:r>
              <w:rPr>
                <w:sz w:val="18"/>
                <w:szCs w:val="18"/>
              </w:rPr>
              <w:t xml:space="preserve">Registro de jornada de conducción y su evidencia</w:t>
            </w:r>
          </w:p>
        </w:tc>
        <w:tc>
          <w:tcPr>
            <w:tcW w:w="4675" w:type="dxa"/>
            <w:vAlign w:val="top"/>
          </w:tcPr>
          <w:p>
            <w:pPr>
              <w:spacing w:before="40" w:after="40"/>
              <w:rPr>
                <w:sz w:val="18"/>
              </w:rPr>
            </w:pPr>
            <w:r>
              <w:rPr>
                <w:sz w:val="18"/>
                <w:szCs w:val="18"/>
              </w:rPr>
              <w:t xml:space="preserve">mínimo 5 años</w:t>
            </w:r>
          </w:p>
        </w:tc>
      </w:tr>
      <w:tr>
        <w:trPr>
          <w:cantSplit/>
        </w:trPr>
        <w:tc>
          <w:tcPr>
            <w:tcW w:w="4675" w:type="dxa"/>
            <w:vAlign w:val="top"/>
          </w:tcPr>
          <w:p>
            <w:pPr>
              <w:spacing w:before="40" w:after="40"/>
              <w:rPr>
                <w:sz w:val="18"/>
              </w:rPr>
            </w:pPr>
            <w:r>
              <w:rPr>
                <w:sz w:val="18"/>
                <w:szCs w:val="18"/>
              </w:rPr>
              <w:t xml:space="preserve">Documento electrónico de transporte y antecedentes del viaje</w:t>
            </w:r>
          </w:p>
        </w:tc>
        <w:tc>
          <w:tcPr>
            <w:tcW w:w="4675" w:type="dxa"/>
            <w:vAlign w:val="top"/>
          </w:tcPr>
          <w:p>
            <w:pPr>
              <w:spacing w:before="40" w:after="40"/>
              <w:rPr>
                <w:sz w:val="18"/>
              </w:rPr>
            </w:pPr>
            <w:r>
              <w:rPr>
                <w:sz w:val="18"/>
                <w:szCs w:val="18"/>
              </w:rPr>
              <w:t xml:space="preserve">6 años</w:t>
            </w:r>
          </w:p>
        </w:tc>
      </w:tr>
      <w:tr>
        <w:trPr>
          <w:cantSplit/>
        </w:trPr>
        <w:tc>
          <w:tcPr>
            <w:tcW w:w="4675" w:type="dxa"/>
            <w:vAlign w:val="top"/>
          </w:tcPr>
          <w:p>
            <w:pPr>
              <w:spacing w:before="40" w:after="40"/>
              <w:rPr>
                <w:sz w:val="18"/>
              </w:rPr>
            </w:pPr>
            <w:r>
              <w:rPr>
                <w:sz w:val="18"/>
                <w:szCs w:val="18"/>
              </w:rPr>
              <w:t xml:space="preserve">Antecedentes de siniestros</w:t>
            </w:r>
          </w:p>
        </w:tc>
        <w:tc>
          <w:tcPr>
            <w:tcW w:w="4675" w:type="dxa"/>
            <w:vAlign w:val="top"/>
          </w:tcPr>
          <w:p>
            <w:pPr>
              <w:spacing w:before="40" w:after="40"/>
              <w:rPr>
                <w:sz w:val="18"/>
              </w:rPr>
            </w:pPr>
            <w:r>
              <w:rPr>
                <w:sz w:val="18"/>
                <w:szCs w:val="18"/>
              </w:rPr>
              <w:t xml:space="preserve">10 años</w:t>
            </w:r>
          </w:p>
        </w:tc>
      </w:tr>
      <w:tr>
        <w:trPr>
          <w:cantSplit/>
        </w:trPr>
        <w:tc>
          <w:tcPr>
            <w:tcW w:w="4675" w:type="dxa"/>
            <w:vAlign w:val="top"/>
          </w:tcPr>
          <w:p>
            <w:pPr>
              <w:spacing w:before="40" w:after="40"/>
              <w:rPr>
                <w:sz w:val="18"/>
              </w:rPr>
            </w:pPr>
            <w:r>
              <w:rPr>
                <w:sz w:val="18"/>
                <w:szCs w:val="18"/>
              </w:rPr>
              <w:t xml:space="preserve">Habilitaciones de conductores y equipos</w:t>
            </w:r>
          </w:p>
        </w:tc>
        <w:tc>
          <w:tcPr>
            <w:tcW w:w="4675" w:type="dxa"/>
            <w:vAlign w:val="top"/>
          </w:tcPr>
          <w:p>
            <w:pPr>
              <w:spacing w:before="40" w:after="40"/>
              <w:rPr>
                <w:sz w:val="18"/>
              </w:rPr>
            </w:pPr>
            <w:r>
              <w:rPr>
                <w:sz w:val="18"/>
                <w:szCs w:val="18"/>
              </w:rPr>
              <w:t xml:space="preserve">su vigencia y 5 años más</w:t>
            </w:r>
          </w:p>
        </w:tc>
      </w:tr>
      <w:tr>
        <w:trPr>
          <w:cantSplit/>
        </w:trPr>
        <w:tc>
          <w:tcPr>
            <w:tcW w:w="4675" w:type="dxa"/>
            <w:vAlign w:val="top"/>
          </w:tcPr>
          <w:p>
            <w:pPr>
              <w:spacing w:before="40" w:after="40"/>
              <w:rPr>
                <w:sz w:val="18"/>
              </w:rPr>
            </w:pPr>
            <w:r>
              <w:rPr>
                <w:sz w:val="18"/>
                <w:szCs w:val="18"/>
              </w:rPr>
              <w:t xml:space="preserve">Registros de carga peligrosa</w:t>
            </w:r>
          </w:p>
        </w:tc>
        <w:tc>
          <w:tcPr>
            <w:tcW w:w="4675" w:type="dxa"/>
            <w:vAlign w:val="top"/>
          </w:tcPr>
          <w:p>
            <w:pPr>
              <w:spacing w:before="40" w:after="40"/>
              <w:rPr>
                <w:sz w:val="18"/>
              </w:rPr>
            </w:pPr>
            <w:r>
              <w:rPr>
                <w:sz w:val="18"/>
                <w:szCs w:val="18"/>
              </w:rPr>
              <w:t xml:space="preserve">5 años</w:t>
            </w:r>
          </w:p>
        </w:tc>
      </w:tr>
      <w:tr>
        <w:trPr>
          <w:cantSplit/>
        </w:trPr>
        <w:tc>
          <w:tcPr>
            <w:tcW w:w="4675" w:type="dxa"/>
            <w:vAlign w:val="top"/>
          </w:tcPr>
          <w:p>
            <w:pPr>
              <w:spacing w:before="40" w:after="40"/>
              <w:rPr>
                <w:sz w:val="18"/>
              </w:rPr>
            </w:pPr>
            <w:r>
              <w:rPr>
                <w:sz w:val="18"/>
                <w:szCs w:val="18"/>
              </w:rPr>
              <w:t xml:space="preserve">Evidencia de tiempos de llegada y salida en instalaciones de cliente</w:t>
            </w:r>
          </w:p>
        </w:tc>
        <w:tc>
          <w:tcPr>
            <w:tcW w:w="4675" w:type="dxa"/>
            <w:vAlign w:val="top"/>
          </w:tcPr>
          <w:p>
            <w:pPr>
              <w:spacing w:before="40" w:after="40"/>
              <w:rPr>
                <w:sz w:val="18"/>
              </w:rPr>
            </w:pPr>
            <w:r>
              <w:rPr>
                <w:sz w:val="18"/>
                <w:szCs w:val="18"/>
              </w:rPr>
              <w:t xml:space="preserve">3 años</w:t>
            </w:r>
          </w:p>
        </w:tc>
      </w:tr>
      <w:tr>
        <w:trPr>
          <w:cantSplit/>
        </w:trPr>
        <w:tc>
          <w:tcPr>
            <w:tcW w:w="4675" w:type="dxa"/>
            <w:vAlign w:val="top"/>
          </w:tcPr>
          <w:p>
            <w:pPr>
              <w:spacing w:before="40" w:after="40"/>
              <w:rPr>
                <w:sz w:val="18"/>
              </w:rPr>
            </w:pPr>
            <w:r>
              <w:rPr>
                <w:sz w:val="18"/>
                <w:szCs w:val="18"/>
              </w:rPr>
              <w:t xml:space="preserve">Liquidaciones a transportistas</w:t>
            </w:r>
          </w:p>
        </w:tc>
        <w:tc>
          <w:tcPr>
            <w:tcW w:w="4675" w:type="dxa"/>
            <w:vAlign w:val="top"/>
          </w:tcPr>
          <w:p>
            <w:pPr>
              <w:spacing w:before="40" w:after="40"/>
              <w:rPr>
                <w:sz w:val="18"/>
              </w:rPr>
            </w:pPr>
            <w:r>
              <w:rPr>
                <w:sz w:val="18"/>
                <w:szCs w:val="18"/>
              </w:rPr>
              <w:t xml:space="preserve">6 años</w:t>
            </w:r>
          </w:p>
        </w:tc>
      </w:tr>
      <w:tr>
        <w:trPr>
          <w:cantSplit/>
        </w:trPr>
        <w:tc>
          <w:tcPr>
            <w:tcW w:w="4675" w:type="dxa"/>
            <w:vAlign w:val="top"/>
          </w:tcPr>
          <w:p>
            <w:pPr>
              <w:spacing w:before="40" w:after="40"/>
              <w:rPr>
                <w:sz w:val="18"/>
              </w:rPr>
            </w:pPr>
            <w:r>
              <w:rPr>
                <w:sz w:val="18"/>
                <w:szCs w:val="18"/>
              </w:rPr>
              <w:t xml:space="preserve">Series de posición y telemetría</w:t>
            </w:r>
          </w:p>
        </w:tc>
        <w:tc>
          <w:tcPr>
            <w:tcW w:w="4675" w:type="dxa"/>
            <w:vAlign w:val="top"/>
          </w:tcPr>
          <w:p>
            <w:pPr>
              <w:spacing w:before="40" w:after="40"/>
              <w:rPr>
                <w:sz w:val="18"/>
              </w:rPr>
            </w:pPr>
            <w:r>
              <w:rPr>
                <w:sz w:val="18"/>
                <w:szCs w:val="18"/>
              </w:rPr>
              <w:t xml:space="preserve">2 años en línea, con política de agregación declarada</w:t>
            </w:r>
          </w:p>
        </w:tc>
      </w:tr>
    </w:tbl>
    <w:p>
      <w:pPr>
        <w:spacing w:before="0" w:after="100"/>
      </w:pPr>
    </w:p>
    <w:p>
      <w:pPr>
        <w:ind w:left="340"/>
        <w:spacing w:before="20" w:after="60"/>
      </w:pPr>
      <w:r>
        <w:t xml:space="preserve">•  </w:t>
      </w:r>
      <w:r>
        <w:rPr>
          <w:b/>
        </w:rPr>
        <w:t xml:space="preserve">RT-07.14:</w:t>
      </w:r>
      <w:r>
        <w:t xml:space="preserve"> restauración granular — un registro, una tabla, un módulo o el sistema completo.</w:t>
      </w:r>
    </w:p>
    <w:p>
      <w:pPr>
        <w:pStyle w:val="Heading3"/>
        <w:keepNext/>
        <w:spacing w:before="200" w:after="80"/>
      </w:pPr>
      <w:r>
        <w:t xml:space="preserve">Procedimientos de conmutación — RT-07.05 a RT-07.08</w:t>
      </w:r>
    </w:p>
    <w:p>
      <w:pPr>
        <w:ind w:left="340"/>
        <w:spacing w:before="20" w:after="60"/>
      </w:pPr>
      <w:r>
        <w:t xml:space="preserve">•  </w:t>
      </w:r>
      <w:r>
        <w:rPr>
          <w:b/>
        </w:rPr>
        <w:t xml:space="preserve">RT-07.05:</w:t>
      </w:r>
      <w:r>
        <w:t xml:space="preserve"> conmutación documentada, automatizada en la mayor medida posible y **ejecutable</w:t>
      </w:r>
    </w:p>
    <w:p>
      <w:pPr>
        <w:spacing w:before="0" w:after="140" w:line="264" w:lineRule="auto"/>
      </w:pPr>
      <w:r>
        <w:t xml:space="preserve">por el personal del CLIENTE** tras la transferencia de conocimiento. Con un área de TI de 9 personas, esto condiciona el diseño: el procedimiento no puede depender del adjudicatario.</w:t>
      </w:r>
    </w:p>
    <w:p>
      <w:pPr>
        <w:ind w:left="340"/>
        <w:spacing w:before="20" w:after="60"/>
      </w:pPr>
      <w:r>
        <w:t xml:space="preserve">•  </w:t>
      </w:r>
      <w:r>
        <w:rPr>
          <w:b/>
        </w:rPr>
        <w:t xml:space="preserve">RT-07.06:</w:t>
      </w:r>
      <w:r>
        <w:t xml:space="preserve"> procedimiento de </w:t>
      </w:r>
      <w:r>
        <w:rPr>
          <w:b/>
        </w:rPr>
        <w:t xml:space="preserve">retorno</w:t>
      </w:r>
      <w:r>
        <w:t xml:space="preserve"> al sitio principal, igualmente documentado y probado,</w:t>
      </w:r>
    </w:p>
    <w:p>
      <w:pPr>
        <w:spacing w:before="0" w:after="140" w:line="264" w:lineRule="auto"/>
      </w:pPr>
      <w:r>
        <w:t xml:space="preserve">con reconciliación de los datos generados durante la contingencia.</w:t>
      </w:r>
    </w:p>
    <w:p>
      <w:pPr>
        <w:ind w:left="340"/>
        <w:spacing w:before="20" w:after="60"/>
      </w:pPr>
      <w:r>
        <w:t xml:space="preserve">•  </w:t>
      </w:r>
      <w:r>
        <w:rPr>
          <w:b/>
        </w:rPr>
        <w:t xml:space="preserve">RT-07.07:</w:t>
      </w:r>
      <w:r>
        <w:t xml:space="preserve"> el plan de DR se prueba </w:t>
      </w:r>
      <w:r>
        <w:rPr>
          <w:b/>
        </w:rPr>
        <w:t xml:space="preserve">al menos dos veces al año mediante conmutación real</w:t>
      </w:r>
      <w:r>
        <w:t xml:space="preserve">,</w:t>
      </w:r>
    </w:p>
    <w:p>
      <w:pPr>
        <w:spacing w:before="0" w:after="140" w:line="264" w:lineRule="auto"/>
      </w:pPr>
      <w:r>
        <w:t xml:space="preserve">con informe de resultados, medición del RTO y RPO efectivamente alcanzados y plan de corrección de brechas.</w:t>
      </w:r>
    </w:p>
    <w:p>
      <w:pPr>
        <w:ind w:left="340"/>
        <w:spacing w:before="20" w:after="60"/>
      </w:pPr>
      <w:r>
        <w:t xml:space="preserve">•  </w:t>
      </w:r>
      <w:r>
        <w:rPr>
          <w:b/>
        </w:rPr>
        <w:t xml:space="preserve">RT-07.08</w:t>
      </w:r>
      <w:r>
        <w:t xml:space="preserve"> (deseable): conmutación automática ante detección de indisponibilidad, con criterio</w:t>
      </w:r>
    </w:p>
    <w:p>
      <w:pPr>
        <w:spacing w:before="0" w:after="140" w:line="264" w:lineRule="auto"/>
      </w:pPr>
      <w:r>
        <w:t xml:space="preserve">de disparo declarado y protección contra conmutación innecesaria.</w:t>
      </w:r>
    </w:p>
    <w:p>
      <w:pPr>
        <w:shd w:val="clear" w:fill="FDF3F3"/>
        <w:pBdr>
          <w:left w:val="single" w:sz="18" w:space="8" w:color="D98A8A"/>
        </w:pBdr>
        <w:ind w:left="200"/>
        <w:spacing w:before="100" w:after="140"/>
      </w:pPr>
      <w:r>
        <w:rPr>
          <w:sz w:val="21"/>
          <w:szCs w:val="21"/>
        </w:rPr>
        <w:t xml:space="preserve">⚠ </w:t>
      </w:r>
      <w:r>
        <w:rPr>
          <w:b/>
          <w:sz w:val="21"/>
          <w:szCs w:val="21"/>
        </w:rPr>
        <w:t xml:space="preserve">Choque con la ventana operacional del caso.</w:t>
      </w:r>
      <w:r>
        <w:rPr>
          <w:sz w:val="21"/>
          <w:szCs w:val="21"/>
        </w:rPr>
        <w:t xml:space="preserve"> RT-07.07 exige dos conmutaciones reales al año. RT-10.05 del Caso (pág. 32/49) declara congelamiento de diciembre a abril por temporada de fruta, en las ventanas de restricción vehicular de Semana Santa y Fiestas Patrias, y durante los nueve días del cierre mensual de liquidaciones. </w:t>
      </w:r>
      <w:r>
        <w:rPr>
          <w:b/>
          <w:sz w:val="21"/>
          <w:szCs w:val="21"/>
        </w:rPr>
        <w:t xml:space="preserve">La ventana disponible para probar el DR es estrecha y hay que calendarizarla explícitamente</w:t>
      </w:r>
      <w:r>
        <w:rPr>
          <w:sz w:val="21"/>
          <w:szCs w:val="21"/>
        </w:rPr>
        <w:t xml:space="preserve">, o el requisito queda incumplible en la práctica. Vale como observación en la propuesta.</w:t>
      </w:r>
    </w:p>
    <w:p>
      <w:pPr>
        <w:pBdr>
          <w:bottom w:val="single" w:sz="6" w:space="1" w:color="C8D2DE"/>
        </w:pBdr>
        <w:spacing w:before="160" w:after="160"/>
      </w:pPr>
    </w:p>
    <w:p>
      <w:pPr>
        <w:pStyle w:val="Heading2"/>
        <w:keepNext/>
        <w:spacing w:before="260" w:after="100"/>
      </w:pPr>
      <w:r>
        <w:t xml:space="preserve">5.12 Desempeño, capacidad y escalabilidad — Cap. 9</w:t>
      </w:r>
    </w:p>
    <w:p>
      <w:pPr>
        <w:pStyle w:val="Heading3"/>
        <w:keepNext/>
        <w:spacing w:before="200" w:after="80"/>
      </w:pPr>
      <w:r>
        <w:t xml:space="preserve">Umbrales del numeral 9.1</w:t>
      </w:r>
    </w:p>
    <w:p>
      <w:pPr>
        <w:spacing w:before="0" w:after="140" w:line="264" w:lineRule="auto"/>
      </w:pPr>
      <w:r>
        <w:t xml:space="preserve">Exigibles en producción, </w:t>
      </w:r>
      <w:r>
        <w:rPr>
          <w:b/>
        </w:rPr>
        <w:t xml:space="preserve">medidos en el percentil 95 sobre la experiencia real de la persona usuaria</w:t>
      </w:r>
      <w:r>
        <w:t xml:space="preserve"> y bajo la carga de peak declarada (pág. 21/51):</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Operación</w:t>
            </w:r>
          </w:p>
        </w:tc>
        <w:tc>
          <w:tcPr>
            <w:tcW w:w="4675" w:type="dxa"/>
            <w:shd w:val="clear" w:fill="EDF2F8"/>
            <w:vAlign w:val="top"/>
          </w:tcPr>
          <w:p>
            <w:pPr>
              <w:spacing w:before="40" w:after="40"/>
              <w:rPr>
                <w:sz w:val="18"/>
              </w:rPr>
            </w:pPr>
            <w:r>
              <w:rPr>
                <w:b/>
                <w:sz w:val="18"/>
                <w:szCs w:val="18"/>
              </w:rPr>
              <w:t xml:space="preserve">Umbral transversal</w:t>
            </w:r>
          </w:p>
        </w:tc>
      </w:tr>
      <w:tr>
        <w:trPr>
          <w:cantSplit/>
        </w:trPr>
        <w:tc>
          <w:tcPr>
            <w:tcW w:w="4675" w:type="dxa"/>
            <w:vAlign w:val="top"/>
          </w:tcPr>
          <w:p>
            <w:pPr>
              <w:spacing w:before="40" w:after="40"/>
              <w:rPr>
                <w:sz w:val="18"/>
              </w:rPr>
            </w:pPr>
            <w:r>
              <w:rPr>
                <w:sz w:val="18"/>
                <w:szCs w:val="18"/>
              </w:rPr>
              <w:t xml:space="preserve">Carga inicial de una página del portal</w:t>
            </w:r>
          </w:p>
        </w:tc>
        <w:tc>
          <w:tcPr>
            <w:tcW w:w="4675" w:type="dxa"/>
            <w:vAlign w:val="top"/>
          </w:tcPr>
          <w:p>
            <w:pPr>
              <w:spacing w:before="40" w:after="40"/>
              <w:rPr>
                <w:sz w:val="18"/>
              </w:rPr>
            </w:pPr>
            <w:r>
              <w:rPr>
                <w:sz w:val="18"/>
                <w:szCs w:val="18"/>
              </w:rPr>
              <w:t xml:space="preserve">2 s</w:t>
            </w:r>
          </w:p>
        </w:tc>
      </w:tr>
      <w:tr>
        <w:trPr>
          <w:cantSplit/>
        </w:trPr>
        <w:tc>
          <w:tcPr>
            <w:tcW w:w="4675" w:type="dxa"/>
            <w:vAlign w:val="top"/>
          </w:tcPr>
          <w:p>
            <w:pPr>
              <w:spacing w:before="40" w:after="40"/>
              <w:rPr>
                <w:sz w:val="18"/>
              </w:rPr>
            </w:pPr>
            <w:r>
              <w:rPr>
                <w:sz w:val="18"/>
                <w:szCs w:val="18"/>
              </w:rPr>
              <w:t xml:space="preserve">Navegación entre vistas ya cargadas</w:t>
            </w:r>
          </w:p>
        </w:tc>
        <w:tc>
          <w:tcPr>
            <w:tcW w:w="4675" w:type="dxa"/>
            <w:vAlign w:val="top"/>
          </w:tcPr>
          <w:p>
            <w:pPr>
              <w:spacing w:before="40" w:after="40"/>
              <w:rPr>
                <w:sz w:val="18"/>
              </w:rPr>
            </w:pPr>
            <w:r>
              <w:rPr>
                <w:sz w:val="18"/>
                <w:szCs w:val="18"/>
              </w:rPr>
              <w:t xml:space="preserve">1 s</w:t>
            </w:r>
          </w:p>
        </w:tc>
      </w:tr>
      <w:tr>
        <w:trPr>
          <w:cantSplit/>
        </w:trPr>
        <w:tc>
          <w:tcPr>
            <w:tcW w:w="4675" w:type="dxa"/>
            <w:vAlign w:val="top"/>
          </w:tcPr>
          <w:p>
            <w:pPr>
              <w:spacing w:before="40" w:after="40"/>
              <w:rPr>
                <w:sz w:val="18"/>
              </w:rPr>
            </w:pPr>
            <w:r>
              <w:rPr>
                <w:sz w:val="18"/>
                <w:szCs w:val="18"/>
              </w:rPr>
              <w:t xml:space="preserve">Interfaz de programación de consulta simple</w:t>
            </w:r>
          </w:p>
        </w:tc>
        <w:tc>
          <w:tcPr>
            <w:tcW w:w="4675" w:type="dxa"/>
            <w:vAlign w:val="top"/>
          </w:tcPr>
          <w:p>
            <w:pPr>
              <w:spacing w:before="40" w:after="40"/>
              <w:rPr>
                <w:sz w:val="18"/>
              </w:rPr>
            </w:pPr>
            <w:r>
              <w:rPr>
                <w:sz w:val="18"/>
                <w:szCs w:val="18"/>
              </w:rPr>
              <w:t xml:space="preserve">500 ms</w:t>
            </w:r>
          </w:p>
        </w:tc>
      </w:tr>
      <w:tr>
        <w:trPr>
          <w:cantSplit/>
        </w:trPr>
        <w:tc>
          <w:tcPr>
            <w:tcW w:w="4675" w:type="dxa"/>
            <w:vAlign w:val="top"/>
          </w:tcPr>
          <w:p>
            <w:pPr>
              <w:spacing w:before="40" w:after="40"/>
              <w:rPr>
                <w:sz w:val="18"/>
              </w:rPr>
            </w:pPr>
            <w:r>
              <w:rPr>
                <w:sz w:val="18"/>
                <w:szCs w:val="18"/>
              </w:rPr>
              <w:t xml:space="preserve">Interfaz de programación de escritura transaccional</w:t>
            </w:r>
          </w:p>
        </w:tc>
        <w:tc>
          <w:tcPr>
            <w:tcW w:w="4675" w:type="dxa"/>
            <w:vAlign w:val="top"/>
          </w:tcPr>
          <w:p>
            <w:pPr>
              <w:spacing w:before="40" w:after="40"/>
              <w:rPr>
                <w:sz w:val="18"/>
              </w:rPr>
            </w:pPr>
            <w:r>
              <w:rPr>
                <w:sz w:val="18"/>
                <w:szCs w:val="18"/>
              </w:rPr>
              <w:t xml:space="preserve">800 ms</w:t>
            </w:r>
          </w:p>
        </w:tc>
      </w:tr>
      <w:tr>
        <w:trPr>
          <w:cantSplit/>
        </w:trPr>
        <w:tc>
          <w:tcPr>
            <w:tcW w:w="4675" w:type="dxa"/>
            <w:vAlign w:val="top"/>
          </w:tcPr>
          <w:p>
            <w:pPr>
              <w:spacing w:before="40" w:after="40"/>
              <w:rPr>
                <w:sz w:val="18"/>
              </w:rPr>
            </w:pPr>
            <w:r>
              <w:rPr>
                <w:sz w:val="18"/>
                <w:szCs w:val="18"/>
              </w:rPr>
              <w:t xml:space="preserve">Transacción operacional crítica de terreno, de extremo a extremo</w:t>
            </w:r>
          </w:p>
        </w:tc>
        <w:tc>
          <w:tcPr>
            <w:tcW w:w="4675" w:type="dxa"/>
            <w:vAlign w:val="top"/>
          </w:tcPr>
          <w:p>
            <w:pPr>
              <w:spacing w:before="40" w:after="40"/>
              <w:rPr>
                <w:sz w:val="18"/>
              </w:rPr>
            </w:pPr>
            <w:r>
              <w:rPr>
                <w:sz w:val="18"/>
                <w:szCs w:val="18"/>
              </w:rPr>
              <w:t xml:space="preserve">definido por el caso; en su defecto 3 s</w:t>
            </w:r>
          </w:p>
        </w:tc>
      </w:tr>
      <w:tr>
        <w:trPr>
          <w:cantSplit/>
        </w:trPr>
        <w:tc>
          <w:tcPr>
            <w:tcW w:w="4675" w:type="dxa"/>
            <w:vAlign w:val="top"/>
          </w:tcPr>
          <w:p>
            <w:pPr>
              <w:spacing w:before="40" w:after="40"/>
              <w:rPr>
                <w:sz w:val="18"/>
              </w:rPr>
            </w:pPr>
            <w:r>
              <w:rPr>
                <w:sz w:val="18"/>
                <w:szCs w:val="18"/>
              </w:rPr>
              <w:t xml:space="preserve">Búsqueda con criterios compuestos</w:t>
            </w:r>
          </w:p>
        </w:tc>
        <w:tc>
          <w:tcPr>
            <w:tcW w:w="4675" w:type="dxa"/>
            <w:vAlign w:val="top"/>
          </w:tcPr>
          <w:p>
            <w:pPr>
              <w:spacing w:before="40" w:after="40"/>
              <w:rPr>
                <w:sz w:val="18"/>
              </w:rPr>
            </w:pPr>
            <w:r>
              <w:rPr>
                <w:sz w:val="18"/>
                <w:szCs w:val="18"/>
              </w:rPr>
              <w:t xml:space="preserve">3 s</w:t>
            </w:r>
          </w:p>
        </w:tc>
      </w:tr>
      <w:tr>
        <w:trPr>
          <w:cantSplit/>
        </w:trPr>
        <w:tc>
          <w:tcPr>
            <w:tcW w:w="4675" w:type="dxa"/>
            <w:vAlign w:val="top"/>
          </w:tcPr>
          <w:p>
            <w:pPr>
              <w:spacing w:before="40" w:after="40"/>
              <w:rPr>
                <w:sz w:val="18"/>
              </w:rPr>
            </w:pPr>
            <w:r>
              <w:rPr>
                <w:sz w:val="18"/>
                <w:szCs w:val="18"/>
              </w:rPr>
              <w:t xml:space="preserve">Generación de un informe estándar en línea</w:t>
            </w:r>
          </w:p>
        </w:tc>
        <w:tc>
          <w:tcPr>
            <w:tcW w:w="4675" w:type="dxa"/>
            <w:vAlign w:val="top"/>
          </w:tcPr>
          <w:p>
            <w:pPr>
              <w:spacing w:before="40" w:after="40"/>
              <w:rPr>
                <w:sz w:val="18"/>
              </w:rPr>
            </w:pPr>
            <w:r>
              <w:rPr>
                <w:sz w:val="18"/>
                <w:szCs w:val="18"/>
              </w:rPr>
              <w:t xml:space="preserve">30 s</w:t>
            </w:r>
          </w:p>
        </w:tc>
      </w:tr>
      <w:tr>
        <w:trPr>
          <w:cantSplit/>
        </w:trPr>
        <w:tc>
          <w:tcPr>
            <w:tcW w:w="4675" w:type="dxa"/>
            <w:vAlign w:val="top"/>
          </w:tcPr>
          <w:p>
            <w:pPr>
              <w:spacing w:before="40" w:after="40"/>
              <w:rPr>
                <w:sz w:val="18"/>
              </w:rPr>
            </w:pPr>
            <w:r>
              <w:rPr>
                <w:sz w:val="18"/>
                <w:szCs w:val="18"/>
              </w:rPr>
              <w:t xml:space="preserve">Procesamiento por lotes</w:t>
            </w:r>
          </w:p>
        </w:tc>
        <w:tc>
          <w:tcPr>
            <w:tcW w:w="4675" w:type="dxa"/>
            <w:vAlign w:val="top"/>
          </w:tcPr>
          <w:p>
            <w:pPr>
              <w:spacing w:before="40" w:after="40"/>
              <w:rPr>
                <w:sz w:val="18"/>
              </w:rPr>
            </w:pPr>
            <w:r>
              <w:rPr>
                <w:sz w:val="18"/>
                <w:szCs w:val="18"/>
              </w:rPr>
              <w:t xml:space="preserve">10.000 registros por minuto</w:t>
            </w:r>
          </w:p>
        </w:tc>
      </w:tr>
      <w:tr>
        <w:trPr>
          <w:cantSplit/>
        </w:trPr>
        <w:tc>
          <w:tcPr>
            <w:tcW w:w="4675" w:type="dxa"/>
            <w:vAlign w:val="top"/>
          </w:tcPr>
          <w:p>
            <w:pPr>
              <w:spacing w:before="40" w:after="40"/>
              <w:rPr>
                <w:sz w:val="18"/>
              </w:rPr>
            </w:pPr>
            <w:r>
              <w:rPr>
                <w:sz w:val="18"/>
                <w:szCs w:val="18"/>
              </w:rPr>
              <w:t xml:space="preserve">Carga de un archivo de 100 MB</w:t>
            </w:r>
          </w:p>
        </w:tc>
        <w:tc>
          <w:tcPr>
            <w:tcW w:w="4675" w:type="dxa"/>
            <w:vAlign w:val="top"/>
          </w:tcPr>
          <w:p>
            <w:pPr>
              <w:spacing w:before="40" w:after="40"/>
              <w:rPr>
                <w:sz w:val="18"/>
              </w:rPr>
            </w:pPr>
            <w:r>
              <w:rPr>
                <w:sz w:val="18"/>
                <w:szCs w:val="18"/>
              </w:rPr>
              <w:t xml:space="preserve">60 s</w:t>
            </w:r>
          </w:p>
        </w:tc>
      </w:tr>
      <w:tr>
        <w:trPr>
          <w:cantSplit/>
        </w:trPr>
        <w:tc>
          <w:tcPr>
            <w:tcW w:w="4675" w:type="dxa"/>
            <w:vAlign w:val="top"/>
          </w:tcPr>
          <w:p>
            <w:pPr>
              <w:spacing w:before="40" w:after="40"/>
              <w:rPr>
                <w:sz w:val="18"/>
              </w:rPr>
            </w:pPr>
            <w:r>
              <w:rPr>
                <w:sz w:val="18"/>
                <w:szCs w:val="18"/>
              </w:rPr>
              <w:t xml:space="preserve">Arranque en frío de un servicio</w:t>
            </w:r>
          </w:p>
        </w:tc>
        <w:tc>
          <w:tcPr>
            <w:tcW w:w="4675" w:type="dxa"/>
            <w:vAlign w:val="top"/>
          </w:tcPr>
          <w:p>
            <w:pPr>
              <w:spacing w:before="40" w:after="40"/>
              <w:rPr>
                <w:sz w:val="18"/>
              </w:rPr>
            </w:pPr>
            <w:r>
              <w:rPr>
                <w:sz w:val="18"/>
                <w:szCs w:val="18"/>
              </w:rPr>
              <w:t xml:space="preserve">60 s</w:t>
            </w:r>
          </w:p>
        </w:tc>
      </w:tr>
    </w:tbl>
    <w:p>
      <w:pPr>
        <w:spacing w:before="0" w:after="100"/>
      </w:pPr>
    </w:p>
    <w:p>
      <w:pPr>
        <w:spacing w:before="0" w:after="140" w:line="264" w:lineRule="auto"/>
      </w:pPr>
      <w:r>
        <w:rPr>
          <w:b/>
        </w:rPr>
        <w:t xml:space="preserve">El Caso endurece la fila crítica.</w:t>
      </w:r>
      <w:r>
        <w:t xml:space="preserve"> RT-09.01 del Caso (pág. 32/49) fija: asignación de viaje con verificación bloqueante de jornada, habilitaciones y aptitud del equipo </w:t>
      </w:r>
      <w:r>
        <w:rPr>
          <w:b/>
        </w:rPr>
        <w:t xml:space="preserve">≤30 s</w:t>
      </w:r>
      <w:r>
        <w:t xml:space="preserve">; emisión del DET </w:t>
      </w:r>
      <w:r>
        <w:rPr>
          <w:b/>
        </w:rPr>
        <w:t xml:space="preserve">≤90 s</w:t>
      </w:r>
      <w:r>
        <w:t xml:space="preserve">; transmisión del botón de emergencia a la torre </w:t>
      </w:r>
      <w:r>
        <w:rPr>
          <w:b/>
        </w:rPr>
        <w:t xml:space="preserve">≤15 s con cobertura</w:t>
      </w:r>
      <w:r>
        <w:t xml:space="preserve">; publicación de la posición al cliente </w:t>
      </w:r>
      <w:r>
        <w:rPr>
          <w:b/>
        </w:rPr>
        <w:t xml:space="preserve">≤2 min</w:t>
      </w:r>
      <w:r>
        <w:t xml:space="preserve">. Por la regla de §0.2 prevalece el más exigente </w:t>
      </w:r>
      <w:r>
        <w:rPr>
          <w:b/>
        </w:rPr>
        <w:t xml:space="preserve">fila por fila</w:t>
      </w:r>
      <w:r>
        <w:t xml:space="preserve">, no el documento completo.</w:t>
      </w:r>
    </w:p>
    <w:p>
      <w:pPr>
        <w:pStyle w:val="Heading3"/>
        <w:keepNext/>
        <w:spacing w:before="200" w:after="80"/>
      </w:pPr>
      <w:r>
        <w:t xml:space="preserve">Requisitos de capacidad</w:t>
      </w:r>
    </w:p>
    <w:p>
      <w:pPr>
        <w:ind w:left="340"/>
        <w:spacing w:before="20" w:after="60"/>
      </w:pPr>
      <w:r>
        <w:t xml:space="preserve">•  </w:t>
      </w:r>
      <w:r>
        <w:rPr>
          <w:b/>
        </w:rPr>
        <w:t xml:space="preserve">RT-09.01:</w:t>
      </w:r>
      <w:r>
        <w:t xml:space="preserve"> presentar el cálculo de capacidad con los supuestos de usuarios concurrentes,</w:t>
      </w:r>
    </w:p>
    <w:p>
      <w:pPr>
        <w:spacing w:before="0" w:after="140" w:line="264" w:lineRule="auto"/>
      </w:pPr>
      <w:r>
        <w:t xml:space="preserve">transacciones por segundo, volumen de datos y crecimiento anual, tomados de la volumetría del caso. → </w:t>
      </w:r>
      <w:r>
        <w:rPr>
          <w:b/>
        </w:rPr>
        <w:t xml:space="preserve">Falta lo de concurrencia</w:t>
      </w:r>
      <w:r>
        <w:t xml:space="preserve">: el Cap. 14.2 pide estimar personas usuarias internas concurrentes considerando turnos 24×7 (torre de 22 personas, 336 con acceso) y externas (84 clientes, 148 transportistas, 258 conductores).</w:t>
      </w:r>
    </w:p>
    <w:p>
      <w:pPr>
        <w:ind w:left="340"/>
        <w:spacing w:before="20" w:after="60"/>
      </w:pPr>
      <w:r>
        <w:t xml:space="preserve">•  </w:t>
      </w:r>
      <w:r>
        <w:rPr>
          <w:b/>
        </w:rPr>
        <w:t xml:space="preserve">RT-09.02</w:t>
      </w:r>
      <w:r>
        <w:t xml:space="preserve"> (según caso): la solución soportará la concurrencia y el volumen de transacciones</w:t>
      </w:r>
    </w:p>
    <w:p>
      <w:pPr>
        <w:spacing w:before="0" w:after="140" w:line="264" w:lineRule="auto"/>
      </w:pPr>
      <w:r>
        <w:t xml:space="preserve">que fije el caso, </w:t>
      </w:r>
      <w:r>
        <w:rPr>
          <w:b/>
        </w:rPr>
        <w:t xml:space="preserve">manteniendo los umbrales del numeral 9.1 bajo esa carga</w:t>
      </w:r>
      <w:r>
        <w:t xml:space="preserve">. El Caso lo parametriza (pág. 32/49): «El PROPONENTE lo deriva de la volumetría del numeral 14.1, considerando la </w:t>
      </w:r>
      <w:r>
        <w:rPr>
          <w:b/>
        </w:rPr>
        <w:t xml:space="preserve">reconexión simultánea de unidades al salir de zonas de sombra</w:t>
      </w:r>
      <w:r>
        <w:t xml:space="preserve">, y lo declara conforme al numeral 14.2.» Es decir: el peak de diseño de este caso </w:t>
      </w:r>
      <w:r>
        <w:rPr>
          <w:b/>
        </w:rPr>
        <w:t xml:space="preserve">no es el peak de usuarios, es el peak de reconexión</w:t>
      </w:r>
      <w:r>
        <w:t xml:space="preserve">.</w:t>
      </w:r>
    </w:p>
    <w:p>
      <w:pPr>
        <w:ind w:left="340"/>
        <w:spacing w:before="20" w:after="60"/>
      </w:pPr>
      <w:r>
        <w:t xml:space="preserve">•  </w:t>
      </w:r>
      <w:r>
        <w:rPr>
          <w:b/>
        </w:rPr>
        <w:t xml:space="preserve">RT-09.03:</w:t>
      </w:r>
      <w:r>
        <w:t xml:space="preserve"> soportar **sin rediseño un crecimiento de al menos tres veces la volumetría</w:t>
      </w:r>
    </w:p>
    <w:p>
      <w:pPr>
        <w:spacing w:before="0" w:after="140" w:line="264" w:lineRule="auto"/>
      </w:pPr>
      <w:r>
        <w:t xml:space="preserve">inicial en un horizonte de tres años**.</w:t>
      </w:r>
    </w:p>
    <w:p>
      <w:pPr>
        <w:spacing w:before="0" w:after="140" w:line="264" w:lineRule="auto"/>
      </w:pPr>
      <w:r>
        <w:t xml:space="preserve">&gt; ⚠ El caso proyecta 430 camiones y ≈118.000 viajes a tres años, que es ≈1,2×, no 3×. **El</w:t>
      </w:r>
    </w:p>
    <w:p>
      <w:pPr>
        <w:spacing w:before="0" w:after="140" w:line="264" w:lineRule="auto"/>
      </w:pPr>
      <w:r>
        <w:t xml:space="preserve">&gt; requisito transversal es más exigente que la proyección del caso y por §0.2 manda.** Hay que</w:t>
      </w:r>
    </w:p>
    <w:p>
      <w:pPr>
        <w:spacing w:before="0" w:after="140" w:line="264" w:lineRule="auto"/>
      </w:pPr>
      <w:r>
        <w:t xml:space="preserve">&gt; dimensionar a 3× y decirlo, o justificar por qué no.</w:t>
      </w:r>
    </w:p>
    <w:p>
      <w:pPr>
        <w:ind w:left="340"/>
        <w:spacing w:before="20" w:after="60"/>
      </w:pPr>
      <w:r>
        <w:t xml:space="preserve">•  </w:t>
      </w:r>
      <w:r>
        <w:rPr>
          <w:b/>
        </w:rPr>
        <w:t xml:space="preserve">RT-09.04:</w:t>
      </w:r>
      <w:r>
        <w:t xml:space="preserve"> escalamiento horizontal y automático de las capas de aplicación e integración, con</w:t>
      </w:r>
    </w:p>
    <w:p>
      <w:pPr>
        <w:spacing w:before="0" w:after="140" w:line="264" w:lineRule="auto"/>
      </w:pPr>
      <w:r>
        <w:t xml:space="preserve">tiempo de reacción declarado y </w:t>
      </w:r>
      <w:r>
        <w:rPr>
          <w:b/>
        </w:rPr>
        <w:t xml:space="preserve">sin pérdida de transacciones en curso</w:t>
      </w:r>
      <w:r>
        <w:t xml:space="preserve">.</w:t>
      </w:r>
    </w:p>
    <w:p>
      <w:pPr>
        <w:ind w:left="340"/>
        <w:spacing w:before="20" w:after="60"/>
      </w:pPr>
      <w:r>
        <w:t xml:space="preserve">•  </w:t>
      </w:r>
      <w:r>
        <w:rPr>
          <w:b/>
        </w:rPr>
        <w:t xml:space="preserve">RT-09.05:</w:t>
      </w:r>
      <w:r>
        <w:t xml:space="preserve"> identificar </w:t>
      </w:r>
      <w:r>
        <w:rPr>
          <w:b/>
        </w:rPr>
        <w:t xml:space="preserve">el componente que primero se convertirá en cuello de botella</w:t>
      </w:r>
      <w:r>
        <w:t xml:space="preserve"> y</w:t>
      </w:r>
    </w:p>
    <w:p>
      <w:pPr>
        <w:spacing w:before="0" w:after="140" w:line="264" w:lineRule="auto"/>
      </w:pPr>
      <w:r>
        <w:t xml:space="preserve">explicar cómo se detecta y cómo se resuelve.</w:t>
      </w:r>
    </w:p>
    <w:p>
      <w:pPr>
        <w:spacing w:before="0" w:after="140" w:line="264" w:lineRule="auto"/>
      </w:pPr>
      <w:r>
        <w:t xml:space="preserve">&gt; </w:t>
      </w:r>
      <w:r>
        <w:rPr>
          <w:b/>
        </w:rPr>
        <w:t xml:space="preserve">En este caso la respuesta es concreta y defendible: la ingesta en la reconexión masiva.</w:t>
      </w:r>
    </w:p>
    <w:p>
      <w:pPr>
        <w:spacing w:before="0" w:after="140" w:line="264" w:lineRule="auto"/>
      </w:pPr>
      <w:r>
        <w:t xml:space="preserve">&gt; Cientos de unidades saliendo de la misma zona de sombra vuelcan simultáneamente hasta 72 h de</w:t>
      </w:r>
    </w:p>
    <w:p>
      <w:pPr>
        <w:spacing w:before="0" w:after="140" w:line="264" w:lineRule="auto"/>
      </w:pPr>
      <w:r>
        <w:t xml:space="preserve">&gt; buffer contra el mismo punto de entrada. Se detecta por profundidad de cola y retraso de</w:t>
      </w:r>
    </w:p>
    <w:p>
      <w:pPr>
        <w:spacing w:before="0" w:after="140" w:line="264" w:lineRule="auto"/>
      </w:pPr>
      <w:r>
        <w:t xml:space="preserve">&gt; procesamiento; se resuelve con particionado, retroceso aleatorizado y ventana de</w:t>
      </w:r>
    </w:p>
    <w:p>
      <w:pPr>
        <w:spacing w:before="0" w:after="140" w:line="264" w:lineRule="auto"/>
      </w:pPr>
      <w:r>
        <w:t xml:space="preserve">&gt; sincronización escalonada. Responder esto bien vale más que cualquier cifra de capacidad.</w:t>
      </w:r>
    </w:p>
    <w:p>
      <w:pPr>
        <w:ind w:left="340"/>
        <w:spacing w:before="20" w:after="60"/>
      </w:pPr>
      <w:r>
        <w:t xml:space="preserve">•  </w:t>
      </w:r>
      <w:r>
        <w:rPr>
          <w:b/>
        </w:rPr>
        <w:t xml:space="preserve">RT-09.06:</w:t>
      </w:r>
      <w:r>
        <w:t xml:space="preserve"> pruebas de carga sobre Preproducción a </w:t>
      </w:r>
      <w:r>
        <w:rPr>
          <w:b/>
        </w:rPr>
        <w:t xml:space="preserve">1,5 veces el peak declarado</w:t>
      </w:r>
      <w:r>
        <w:t xml:space="preserve">, y pruebas</w:t>
      </w:r>
    </w:p>
    <w:p>
      <w:pPr>
        <w:spacing w:before="0" w:after="140" w:line="264" w:lineRule="auto"/>
      </w:pPr>
      <w:r>
        <w:t xml:space="preserve">de estrés hasta identificar el punto de quiebre.</w:t>
      </w:r>
    </w:p>
    <w:p>
      <w:pPr>
        <w:ind w:left="340"/>
        <w:spacing w:before="20" w:after="60"/>
      </w:pPr>
      <w:r>
        <w:t xml:space="preserve">•  </w:t>
      </w:r>
      <w:r>
        <w:rPr>
          <w:b/>
        </w:rPr>
        <w:t xml:space="preserve">RT-09.07:</w:t>
      </w:r>
      <w:r>
        <w:t xml:space="preserve"> informe de pruebas con curva de tiempo de respuesta frente a carga, punto de</w:t>
      </w:r>
    </w:p>
    <w:p>
      <w:pPr>
        <w:spacing w:before="0" w:after="140" w:line="264" w:lineRule="auto"/>
      </w:pPr>
      <w:r>
        <w:t xml:space="preserve">saturación, consumo de recursos y comportamiento </w:t>
      </w:r>
      <w:r>
        <w:rPr>
          <w:b/>
        </w:rPr>
        <w:t xml:space="preserve">durante y después</w:t>
      </w:r>
      <w:r>
        <w:t xml:space="preserve"> del peak.</w:t>
      </w:r>
    </w:p>
    <w:p>
      <w:pPr>
        <w:ind w:left="340"/>
        <w:spacing w:before="20" w:after="60"/>
      </w:pPr>
      <w:r>
        <w:t xml:space="preserve">•  </w:t>
      </w:r>
      <w:r>
        <w:rPr>
          <w:b/>
        </w:rPr>
        <w:t xml:space="preserve">RT-09.08:</w:t>
      </w:r>
      <w:r>
        <w:t xml:space="preserve"> degradación controlada al superarse la capacidad — encolamiento, limitación de</w:t>
      </w:r>
    </w:p>
    <w:p>
      <w:pPr>
        <w:spacing w:before="0" w:after="140" w:line="264" w:lineRule="auto"/>
      </w:pPr>
      <w:r>
        <w:t xml:space="preserve">tasa y mensaje explícito a la persona usuaria, </w:t>
      </w:r>
      <w:r>
        <w:rPr>
          <w:b/>
        </w:rPr>
        <w:t xml:space="preserve">nunca error genérico ni pérdida silenciosa de transacciones</w:t>
      </w:r>
      <w:r>
        <w:t xml:space="preserve">.</w:t>
      </w:r>
    </w:p>
    <w:p>
      <w:pPr>
        <w:ind w:left="340"/>
        <w:spacing w:before="20" w:after="60"/>
      </w:pPr>
      <w:r>
        <w:t xml:space="preserve">•  </w:t>
      </w:r>
      <w:r>
        <w:rPr>
          <w:b/>
        </w:rPr>
        <w:t xml:space="preserve">RT-09.09:</w:t>
      </w:r>
      <w:r>
        <w:t xml:space="preserve"> gestión de capacidad durante la Operación con proyección trimestral de</w:t>
      </w:r>
    </w:p>
    <w:p>
      <w:pPr>
        <w:spacing w:before="0" w:after="140" w:line="264" w:lineRule="auto"/>
      </w:pPr>
      <w:r>
        <w:t xml:space="preserve">crecimiento, alertas anticipadas de agotamiento y propuesta de ajuste de dimensionamiento y de costo.</w:t>
      </w:r>
    </w:p>
    <w:p>
      <w:pPr>
        <w:ind w:left="340"/>
        <w:spacing w:before="20" w:after="60"/>
      </w:pPr>
      <w:r>
        <w:t xml:space="preserve">•  </w:t>
      </w:r>
      <w:r>
        <w:rPr>
          <w:b/>
        </w:rPr>
        <w:t xml:space="preserve">RT-09.10</w:t>
      </w:r>
      <w:r>
        <w:t xml:space="preserve"> (deseable): pruebas de carga automatizadas y periódicas en el flujo de integración</w:t>
      </w:r>
    </w:p>
    <w:p>
      <w:pPr>
        <w:spacing w:before="0" w:after="140" w:line="264" w:lineRule="auto"/>
      </w:pPr>
      <w:r>
        <w:t xml:space="preserve">continua, con detección de regresiones de desempeño.</w:t>
      </w:r>
    </w:p>
    <w:p>
      <w:pPr>
        <w:pBdr>
          <w:bottom w:val="single" w:sz="6" w:space="1" w:color="C8D2DE"/>
        </w:pBdr>
        <w:spacing w:before="160" w:after="160"/>
      </w:pPr>
    </w:p>
    <w:p>
      <w:pPr>
        <w:pStyle w:val="Heading2"/>
        <w:keepNext/>
        <w:spacing w:before="260" w:after="100"/>
      </w:pPr>
      <w:r>
        <w:t xml:space="preserve">5.13 Disponibilidad, continuidad y resiliencia — Cap. 10</w:t>
      </w:r>
    </w:p>
    <w:p>
      <w:pPr>
        <w:ind w:left="340"/>
        <w:spacing w:before="20" w:after="60"/>
      </w:pPr>
      <w:r>
        <w:t xml:space="preserve">•  </w:t>
      </w:r>
      <w:r>
        <w:rPr>
          <w:b/>
        </w:rPr>
        <w:t xml:space="preserve">RT-10.01:</w:t>
      </w:r>
      <w:r>
        <w:t xml:space="preserve"> disponibilidad mensual mínima de **99,9 % para los servicios críticos, medida</w:t>
      </w:r>
    </w:p>
    <w:p>
      <w:pPr>
        <w:spacing w:before="0" w:after="140" w:line="264" w:lineRule="auto"/>
      </w:pPr>
      <w:r>
        <w:t xml:space="preserve">sobre la transacción de negocio de extremo a extremo</w:t>
      </w:r>
      <w:r>
        <w:rPr>
          <w:b/>
        </w:rPr>
        <w:t xml:space="preserve">. El numeral 7.2 lo aclara: los 99,95 % de infraestructura «son un medio, no un fin»; lo que se mide y se penaliza es el </w:t>
      </w:r>
      <w:r>
        <w:t xml:space="preserve">Artículo 78° de las Bases Administrativas**.</w:t>
      </w:r>
    </w:p>
    <w:p>
      <w:pPr>
        <w:ind w:left="340"/>
        <w:spacing w:before="20" w:after="60"/>
      </w:pPr>
      <w:r>
        <w:t xml:space="preserve">•  </w:t>
      </w:r>
      <w:r>
        <w:rPr>
          <w:b/>
        </w:rPr>
        <w:t xml:space="preserve">RT-10.02:</w:t>
      </w:r>
      <w:r>
        <w:t xml:space="preserve"> clasificar cada servicio en crítico, alto, medio o bajo, justificando con el</w:t>
      </w:r>
    </w:p>
    <w:p>
      <w:pPr>
        <w:spacing w:before="0" w:after="140" w:line="264" w:lineRule="auto"/>
      </w:pPr>
      <w:r>
        <w:t xml:space="preserve">impacto operacional de su indisponibilidad. </w:t>
      </w:r>
      <w:r>
        <w:rPr>
          <w:b/>
        </w:rPr>
        <w:t xml:space="preserve">Clasificación propuesta</w:t>
      </w:r>
      <w:r>
        <w:t xml:space="preserve">, anclada en RT-21.06 del Caso (pág. 34/49):</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Servicio</w:t>
            </w:r>
          </w:p>
        </w:tc>
        <w:tc>
          <w:tcPr>
            <w:tcW w:w="3116" w:type="dxa"/>
            <w:shd w:val="clear" w:fill="EDF2F8"/>
            <w:vAlign w:val="top"/>
          </w:tcPr>
          <w:p>
            <w:pPr>
              <w:spacing w:before="40" w:after="40"/>
              <w:rPr>
                <w:sz w:val="18"/>
              </w:rPr>
            </w:pPr>
            <w:r>
              <w:rPr>
                <w:b/>
                <w:sz w:val="18"/>
                <w:szCs w:val="18"/>
              </w:rPr>
              <w:t xml:space="preserve">Clase</w:t>
            </w:r>
          </w:p>
        </w:tc>
        <w:tc>
          <w:tcPr>
            <w:tcW w:w="3116" w:type="dxa"/>
            <w:shd w:val="clear" w:fill="EDF2F8"/>
            <w:vAlign w:val="top"/>
          </w:tcPr>
          <w:p>
            <w:pPr>
              <w:spacing w:before="40" w:after="40"/>
              <w:rPr>
                <w:sz w:val="18"/>
              </w:rPr>
            </w:pPr>
            <w:r>
              <w:rPr>
                <w:b/>
                <w:sz w:val="18"/>
                <w:szCs w:val="18"/>
              </w:rPr>
              <w:t xml:space="preserve">Justificación</w:t>
            </w:r>
          </w:p>
        </w:tc>
      </w:tr>
      <w:tr>
        <w:trPr>
          <w:cantSplit/>
        </w:trPr>
        <w:tc>
          <w:tcPr>
            <w:tcW w:w="3116" w:type="dxa"/>
            <w:vAlign w:val="top"/>
          </w:tcPr>
          <w:p>
            <w:pPr>
              <w:spacing w:before="40" w:after="40"/>
              <w:rPr>
                <w:sz w:val="18"/>
              </w:rPr>
            </w:pPr>
            <w:r>
              <w:rPr>
                <w:sz w:val="18"/>
                <w:szCs w:val="18"/>
              </w:rPr>
              <w:t xml:space="preserve">Asignación de viaje con verificación bloqueante</w:t>
            </w:r>
          </w:p>
        </w:tc>
        <w:tc>
          <w:tcPr>
            <w:tcW w:w="3116" w:type="dxa"/>
            <w:vAlign w:val="top"/>
          </w:tcPr>
          <w:p>
            <w:pPr>
              <w:spacing w:before="40" w:after="40"/>
              <w:rPr>
                <w:sz w:val="18"/>
              </w:rPr>
            </w:pPr>
            <w:r>
              <w:rPr>
                <w:sz w:val="18"/>
                <w:szCs w:val="18"/>
              </w:rPr>
              <w:t xml:space="preserve">Crítico</w:t>
            </w:r>
          </w:p>
        </w:tc>
        <w:tc>
          <w:tcPr>
            <w:tcW w:w="3116" w:type="dxa"/>
            <w:vAlign w:val="top"/>
          </w:tcPr>
          <w:p>
            <w:pPr>
              <w:spacing w:before="40" w:after="40"/>
              <w:rPr>
                <w:sz w:val="18"/>
              </w:rPr>
            </w:pPr>
            <w:r>
              <w:rPr>
                <w:sz w:val="18"/>
                <w:szCs w:val="18"/>
              </w:rPr>
              <w:t xml:space="preserve">RT-21.06: severidad máxima</w:t>
            </w:r>
          </w:p>
        </w:tc>
      </w:tr>
      <w:tr>
        <w:trPr>
          <w:cantSplit/>
        </w:trPr>
        <w:tc>
          <w:tcPr>
            <w:tcW w:w="3116" w:type="dxa"/>
            <w:vAlign w:val="top"/>
          </w:tcPr>
          <w:p>
            <w:pPr>
              <w:spacing w:before="40" w:after="40"/>
              <w:rPr>
                <w:sz w:val="18"/>
              </w:rPr>
            </w:pPr>
            <w:r>
              <w:rPr>
                <w:sz w:val="18"/>
                <w:szCs w:val="18"/>
              </w:rPr>
              <w:t xml:space="preserve">Emisión del documento electrónico de transporte</w:t>
            </w:r>
          </w:p>
        </w:tc>
        <w:tc>
          <w:tcPr>
            <w:tcW w:w="3116" w:type="dxa"/>
            <w:vAlign w:val="top"/>
          </w:tcPr>
          <w:p>
            <w:pPr>
              <w:spacing w:before="40" w:after="40"/>
              <w:rPr>
                <w:sz w:val="18"/>
              </w:rPr>
            </w:pPr>
            <w:r>
              <w:rPr>
                <w:sz w:val="18"/>
                <w:szCs w:val="18"/>
              </w:rPr>
              <w:t xml:space="preserve">Crítico</w:t>
            </w:r>
          </w:p>
        </w:tc>
        <w:tc>
          <w:tcPr>
            <w:tcW w:w="3116" w:type="dxa"/>
            <w:vAlign w:val="top"/>
          </w:tcPr>
          <w:p>
            <w:pPr>
              <w:spacing w:before="40" w:after="40"/>
              <w:rPr>
                <w:sz w:val="18"/>
              </w:rPr>
            </w:pPr>
            <w:r>
              <w:rPr>
                <w:sz w:val="18"/>
                <w:szCs w:val="18"/>
              </w:rPr>
              <w:t xml:space="preserve">RT-21.06: severidad máxima</w:t>
            </w:r>
          </w:p>
        </w:tc>
      </w:tr>
      <w:tr>
        <w:trPr>
          <w:cantSplit/>
        </w:trPr>
        <w:tc>
          <w:tcPr>
            <w:tcW w:w="3116" w:type="dxa"/>
            <w:vAlign w:val="top"/>
          </w:tcPr>
          <w:p>
            <w:pPr>
              <w:spacing w:before="40" w:after="40"/>
              <w:rPr>
                <w:sz w:val="18"/>
              </w:rPr>
            </w:pPr>
            <w:r>
              <w:rPr>
                <w:sz w:val="18"/>
                <w:szCs w:val="18"/>
              </w:rPr>
              <w:t xml:space="preserve">Recepción del evento de botón de emergencia</w:t>
            </w:r>
          </w:p>
        </w:tc>
        <w:tc>
          <w:tcPr>
            <w:tcW w:w="3116" w:type="dxa"/>
            <w:vAlign w:val="top"/>
          </w:tcPr>
          <w:p>
            <w:pPr>
              <w:spacing w:before="40" w:after="40"/>
              <w:rPr>
                <w:sz w:val="18"/>
              </w:rPr>
            </w:pPr>
            <w:r>
              <w:rPr>
                <w:sz w:val="18"/>
                <w:szCs w:val="18"/>
              </w:rPr>
              <w:t xml:space="preserve">Crítico</w:t>
            </w:r>
          </w:p>
        </w:tc>
        <w:tc>
          <w:tcPr>
            <w:tcW w:w="3116" w:type="dxa"/>
            <w:vAlign w:val="top"/>
          </w:tcPr>
          <w:p>
            <w:pPr>
              <w:spacing w:before="40" w:after="40"/>
              <w:rPr>
                <w:sz w:val="18"/>
              </w:rPr>
            </w:pPr>
            <w:r>
              <w:rPr>
                <w:sz w:val="18"/>
                <w:szCs w:val="18"/>
              </w:rPr>
              <w:t xml:space="preserve">RT-21.06: severidad máxima</w:t>
            </w:r>
          </w:p>
        </w:tc>
      </w:tr>
      <w:tr>
        <w:trPr>
          <w:cantSplit/>
        </w:trPr>
        <w:tc>
          <w:tcPr>
            <w:tcW w:w="3116" w:type="dxa"/>
            <w:vAlign w:val="top"/>
          </w:tcPr>
          <w:p>
            <w:pPr>
              <w:spacing w:before="40" w:after="40"/>
              <w:rPr>
                <w:sz w:val="18"/>
              </w:rPr>
            </w:pPr>
            <w:r>
              <w:rPr>
                <w:sz w:val="18"/>
                <w:szCs w:val="18"/>
              </w:rPr>
              <w:t xml:space="preserve">Ingesta de telemetría y sincronización diferida</w:t>
            </w:r>
          </w:p>
        </w:tc>
        <w:tc>
          <w:tcPr>
            <w:tcW w:w="3116" w:type="dxa"/>
            <w:vAlign w:val="top"/>
          </w:tcPr>
          <w:p>
            <w:pPr>
              <w:spacing w:before="40" w:after="40"/>
              <w:rPr>
                <w:sz w:val="18"/>
              </w:rPr>
            </w:pPr>
            <w:r>
              <w:rPr>
                <w:sz w:val="18"/>
                <w:szCs w:val="18"/>
              </w:rPr>
              <w:t xml:space="preserve">Alto</w:t>
            </w:r>
          </w:p>
        </w:tc>
        <w:tc>
          <w:tcPr>
            <w:tcW w:w="3116" w:type="dxa"/>
            <w:vAlign w:val="top"/>
          </w:tcPr>
          <w:p>
            <w:pPr>
              <w:spacing w:before="40" w:after="40"/>
              <w:rPr>
                <w:sz w:val="18"/>
              </w:rPr>
            </w:pPr>
            <w:r>
              <w:rPr>
                <w:sz w:val="18"/>
                <w:szCs w:val="18"/>
              </w:rPr>
              <w:t xml:space="preserve">Tolera diferimiento por diseño: buffer de 72 h</w:t>
            </w:r>
          </w:p>
        </w:tc>
      </w:tr>
      <w:tr>
        <w:trPr>
          <w:cantSplit/>
        </w:trPr>
        <w:tc>
          <w:tcPr>
            <w:tcW w:w="3116" w:type="dxa"/>
            <w:vAlign w:val="top"/>
          </w:tcPr>
          <w:p>
            <w:pPr>
              <w:spacing w:before="40" w:after="40"/>
              <w:rPr>
                <w:sz w:val="18"/>
              </w:rPr>
            </w:pPr>
            <w:r>
              <w:rPr>
                <w:sz w:val="18"/>
                <w:szCs w:val="18"/>
              </w:rPr>
              <w:t xml:space="preserve">Portal del cliente y del transportista</w:t>
            </w:r>
          </w:p>
        </w:tc>
        <w:tc>
          <w:tcPr>
            <w:tcW w:w="3116" w:type="dxa"/>
            <w:vAlign w:val="top"/>
          </w:tcPr>
          <w:p>
            <w:pPr>
              <w:spacing w:before="40" w:after="40"/>
              <w:rPr>
                <w:sz w:val="18"/>
              </w:rPr>
            </w:pPr>
            <w:r>
              <w:rPr>
                <w:sz w:val="18"/>
                <w:szCs w:val="18"/>
              </w:rPr>
              <w:t xml:space="preserve">Alto</w:t>
            </w:r>
          </w:p>
        </w:tc>
        <w:tc>
          <w:tcPr>
            <w:tcW w:w="3116" w:type="dxa"/>
            <w:vAlign w:val="top"/>
          </w:tcPr>
          <w:p>
            <w:pPr>
              <w:spacing w:before="40" w:after="40"/>
              <w:rPr>
                <w:sz w:val="18"/>
              </w:rPr>
            </w:pPr>
            <w:r>
              <w:rPr>
                <w:sz w:val="18"/>
                <w:szCs w:val="18"/>
              </w:rPr>
              <w:t xml:space="preserve">Compromiso con el cliente del 19 % de los ingresos</w:t>
            </w:r>
          </w:p>
        </w:tc>
      </w:tr>
      <w:tr>
        <w:trPr>
          <w:cantSplit/>
        </w:trPr>
        <w:tc>
          <w:tcPr>
            <w:tcW w:w="3116" w:type="dxa"/>
            <w:vAlign w:val="top"/>
          </w:tcPr>
          <w:p>
            <w:pPr>
              <w:spacing w:before="40" w:after="40"/>
              <w:rPr>
                <w:sz w:val="18"/>
              </w:rPr>
            </w:pPr>
            <w:r>
              <w:rPr>
                <w:sz w:val="18"/>
                <w:szCs w:val="18"/>
              </w:rPr>
              <w:t xml:space="preserve">Liquidación mensual a transportistas</w:t>
            </w:r>
          </w:p>
        </w:tc>
        <w:tc>
          <w:tcPr>
            <w:tcW w:w="3116" w:type="dxa"/>
            <w:vAlign w:val="top"/>
          </w:tcPr>
          <w:p>
            <w:pPr>
              <w:spacing w:before="40" w:after="40"/>
              <w:rPr>
                <w:sz w:val="18"/>
              </w:rPr>
            </w:pPr>
            <w:r>
              <w:rPr>
                <w:sz w:val="18"/>
                <w:szCs w:val="18"/>
              </w:rPr>
              <w:t xml:space="preserve">Alto</w:t>
            </w:r>
          </w:p>
        </w:tc>
        <w:tc>
          <w:tcPr>
            <w:tcW w:w="3116" w:type="dxa"/>
            <w:vAlign w:val="top"/>
          </w:tcPr>
          <w:p>
            <w:pPr>
              <w:spacing w:before="40" w:after="40"/>
              <w:rPr>
                <w:sz w:val="18"/>
              </w:rPr>
            </w:pPr>
            <w:r>
              <w:rPr>
                <w:sz w:val="18"/>
                <w:szCs w:val="18"/>
              </w:rPr>
              <w:t xml:space="preserve">Proceso de nueve días, no continuo</w:t>
            </w:r>
          </w:p>
        </w:tc>
      </w:tr>
      <w:tr>
        <w:trPr>
          <w:cantSplit/>
        </w:trPr>
        <w:tc>
          <w:tcPr>
            <w:tcW w:w="3116" w:type="dxa"/>
            <w:vAlign w:val="top"/>
          </w:tcPr>
          <w:p>
            <w:pPr>
              <w:spacing w:before="40" w:after="40"/>
              <w:rPr>
                <w:sz w:val="18"/>
              </w:rPr>
            </w:pPr>
            <w:r>
              <w:rPr>
                <w:sz w:val="18"/>
                <w:szCs w:val="18"/>
              </w:rPr>
              <w:t xml:space="preserve">Analítica y tableros de gestión</w:t>
            </w:r>
          </w:p>
        </w:tc>
        <w:tc>
          <w:tcPr>
            <w:tcW w:w="3116" w:type="dxa"/>
            <w:vAlign w:val="top"/>
          </w:tcPr>
          <w:p>
            <w:pPr>
              <w:spacing w:before="40" w:after="40"/>
              <w:rPr>
                <w:sz w:val="18"/>
              </w:rPr>
            </w:pPr>
            <w:r>
              <w:rPr>
                <w:sz w:val="18"/>
                <w:szCs w:val="18"/>
              </w:rPr>
              <w:t xml:space="preserve">Medio</w:t>
            </w:r>
          </w:p>
        </w:tc>
        <w:tc>
          <w:tcPr>
            <w:tcW w:w="3116" w:type="dxa"/>
            <w:vAlign w:val="top"/>
          </w:tcPr>
          <w:p>
            <w:pPr>
              <w:spacing w:before="40" w:after="40"/>
              <w:rPr>
                <w:sz w:val="18"/>
              </w:rPr>
            </w:pPr>
            <w:r>
              <w:rPr>
                <w:sz w:val="18"/>
                <w:szCs w:val="18"/>
              </w:rPr>
              <w:t xml:space="preserve">RT-05.29 admite consolidación diferida</w:t>
            </w:r>
          </w:p>
        </w:tc>
      </w:tr>
    </w:tbl>
    <w:p>
      <w:pPr>
        <w:spacing w:before="0" w:after="100"/>
      </w:pPr>
    </w:p>
    <w:p>
      <w:pPr>
        <w:ind w:left="340"/>
        <w:spacing w:before="20" w:after="60"/>
      </w:pPr>
      <w:r>
        <w:t xml:space="preserve">•  </w:t>
      </w:r>
      <w:r>
        <w:rPr>
          <w:b/>
        </w:rPr>
        <w:t xml:space="preserve">RT-10.03:</w:t>
      </w:r>
      <w:r>
        <w:t xml:space="preserve"> plan de continuidad del negocio conforme a </w:t>
      </w:r>
      <w:r>
        <w:rPr>
          <w:b/>
        </w:rPr>
        <w:t xml:space="preserve">ISO 22301</w:t>
      </w:r>
      <w:r>
        <w:t xml:space="preserve">, con análisis de impacto</w:t>
      </w:r>
    </w:p>
    <w:p>
      <w:pPr>
        <w:spacing w:before="0" w:after="140" w:line="264" w:lineRule="auto"/>
      </w:pPr>
      <w:r>
        <w:t xml:space="preserve">en el negocio, escenarios de contingencia, procedimientos manuales de respaldo y criterios de activación.</w:t>
      </w:r>
    </w:p>
    <w:p>
      <w:pPr>
        <w:ind w:left="340"/>
        <w:spacing w:before="20" w:after="60"/>
      </w:pPr>
      <w:r>
        <w:t xml:space="preserve">•  </w:t>
      </w:r>
      <w:r>
        <w:rPr>
          <w:b/>
        </w:rPr>
        <w:t xml:space="preserve">RT-10.04:</w:t>
      </w:r>
      <w:r>
        <w:t xml:space="preserve"> continuidad TIC conforme a </w:t>
      </w:r>
      <w:r>
        <w:rPr>
          <w:b/>
        </w:rPr>
        <w:t xml:space="preserve">ISO/IEC 27031</w:t>
      </w:r>
      <w:r>
        <w:t xml:space="preserve">, articulada con el plan de</w:t>
      </w:r>
    </w:p>
    <w:p>
      <w:pPr>
        <w:spacing w:before="0" w:after="140" w:line="264" w:lineRule="auto"/>
      </w:pPr>
      <w:r>
        <w:t xml:space="preserve">recuperación ante desastres del Cap. 7.</w:t>
      </w:r>
    </w:p>
    <w:p>
      <w:pPr>
        <w:ind w:left="340"/>
        <w:spacing w:before="20" w:after="60"/>
      </w:pPr>
      <w:r>
        <w:t xml:space="preserve">•  </w:t>
      </w:r>
      <w:r>
        <w:rPr>
          <w:b/>
        </w:rPr>
        <w:t xml:space="preserve">RT-10.05</w:t>
      </w:r>
      <w:r>
        <w:t xml:space="preserve"> (según caso): mantenimientos programados fuera de la ventana operacional crítica,</w:t>
      </w:r>
    </w:p>
    <w:p>
      <w:pPr>
        <w:spacing w:before="0" w:after="140" w:line="264" w:lineRule="auto"/>
      </w:pPr>
      <w:r>
        <w:t xml:space="preserve">con aviso previo mínimo de </w:t>
      </w:r>
      <w:r>
        <w:rPr>
          <w:b/>
        </w:rPr>
        <w:t xml:space="preserve">diez días hábiles</w:t>
      </w:r>
      <w:r>
        <w:t xml:space="preserve">. El Caso lo endurece: la flota rueda 24×7×365 y </w:t>
      </w:r>
      <w:r>
        <w:rPr>
          <w:b/>
        </w:rPr>
        <w:t xml:space="preserve">no existe ventana de detención</w:t>
      </w:r>
      <w:r>
        <w:t xml:space="preserve">; la intervención es camión por camión y terminal por terminal.</w:t>
      </w:r>
    </w:p>
    <w:p>
      <w:pPr>
        <w:ind w:left="340"/>
        <w:spacing w:before="20" w:after="60"/>
      </w:pPr>
      <w:r>
        <w:t xml:space="preserve">•  </w:t>
      </w:r>
      <w:r>
        <w:rPr>
          <w:b/>
        </w:rPr>
        <w:t xml:space="preserve">RT-10.06:</w:t>
      </w:r>
      <w:r>
        <w:t xml:space="preserve"> desplegar cambios </w:t>
      </w:r>
      <w:r>
        <w:rPr>
          <w:b/>
        </w:rPr>
        <w:t xml:space="preserve">sin interrupción del servicio</w:t>
      </w:r>
      <w:r>
        <w:t xml:space="preserve">. Las ventanas de</w:t>
      </w:r>
    </w:p>
    <w:p>
      <w:pPr>
        <w:spacing w:before="0" w:after="140" w:line="264" w:lineRule="auto"/>
      </w:pPr>
      <w:r>
        <w:t xml:space="preserve">indisponibilidad programada son excepcionales y se justifican caso a caso.</w:t>
      </w:r>
    </w:p>
    <w:p>
      <w:pPr>
        <w:ind w:left="340"/>
        <w:spacing w:before="20" w:after="60"/>
      </w:pPr>
      <w:r>
        <w:t xml:space="preserve">•  </w:t>
      </w:r>
      <w:r>
        <w:rPr>
          <w:b/>
        </w:rPr>
        <w:t xml:space="preserve">RT-10.07:</w:t>
      </w:r>
      <w:r>
        <w:t xml:space="preserve"> pruebas de resiliencia mediante </w:t>
      </w:r>
      <w:r>
        <w:rPr>
          <w:b/>
        </w:rPr>
        <w:t xml:space="preserve">inyección controlada de fallas</w:t>
      </w:r>
      <w:r>
        <w:t xml:space="preserve"> —caída de</w:t>
      </w:r>
    </w:p>
    <w:p>
      <w:pPr>
        <w:spacing w:before="0" w:after="140" w:line="264" w:lineRule="auto"/>
      </w:pPr>
      <w:r>
        <w:t xml:space="preserve">instancia, de zona, de dependencia externa, latencia elevada, saturación de disco— antes de cada paso a producción y al menos una vez por semestre durante la Operación.</w:t>
      </w:r>
    </w:p>
    <w:p>
      <w:pPr>
        <w:ind w:left="340"/>
        <w:spacing w:before="20" w:after="60"/>
      </w:pPr>
      <w:r>
        <w:t xml:space="preserve">•  </w:t>
      </w:r>
      <w:r>
        <w:rPr>
          <w:b/>
        </w:rPr>
        <w:t xml:space="preserve">RT-10.08:</w:t>
      </w:r>
      <w:r>
        <w:t xml:space="preserve"> documentar, </w:t>
      </w:r>
      <w:r>
        <w:rPr>
          <w:b/>
        </w:rPr>
        <w:t xml:space="preserve">por cada dependencia externa</w:t>
      </w:r>
      <w:r>
        <w:t xml:space="preserve">, el comportamiento de la solución</w:t>
      </w:r>
    </w:p>
    <w:p>
      <w:pPr>
        <w:spacing w:before="0" w:after="140" w:line="264" w:lineRule="auto"/>
      </w:pPr>
      <w:r>
        <w:t xml:space="preserve">cuando esa dependencia no responde, responde con error o responde con lentitud.</w:t>
      </w:r>
    </w:p>
    <w:p>
      <w:pPr>
        <w:spacing w:before="0" w:after="140" w:line="264" w:lineRule="auto"/>
      </w:pPr>
      <w:r>
        <w:t xml:space="preserve">&gt; En este caso las dependencias externas están nombradas y son muchas: las tres plataformas de</w:t>
      </w:r>
    </w:p>
    <w:p>
      <w:pPr>
        <w:spacing w:before="0" w:after="140" w:line="264" w:lineRule="auto"/>
      </w:pPr>
      <w:r>
        <w:t xml:space="preserve">&gt; posicionamiento, la telemetría de fábrica por OEM, la red de estaciones de servicio, el</w:t>
      </w:r>
    </w:p>
    <w:p>
      <w:pPr>
        <w:spacing w:before="0" w:after="140" w:line="264" w:lineRule="auto"/>
      </w:pPr>
      <w:r>
        <w:t xml:space="preserve">&gt; dispositivo de peaje, el sistema contable, los sistemas de los 84 clientes y la autoridad</w:t>
      </w:r>
    </w:p>
    <w:p>
      <w:pPr>
        <w:spacing w:before="0" w:after="140" w:line="264" w:lineRule="auto"/>
      </w:pPr>
      <w:r>
        <w:t xml:space="preserve">&gt; aduanera. </w:t>
      </w:r>
      <w:r>
        <w:rPr>
          <w:b/>
        </w:rPr>
        <w:t xml:space="preserve">Es una tabla larga y es obligatoria.</w:t>
      </w:r>
    </w:p>
    <w:p>
      <w:pPr>
        <w:ind w:left="340"/>
        <w:spacing w:before="20" w:after="60"/>
      </w:pPr>
      <w:r>
        <w:t xml:space="preserve">•  </w:t>
      </w:r>
      <w:r>
        <w:rPr>
          <w:b/>
        </w:rPr>
        <w:t xml:space="preserve">RT-10.09</w:t>
      </w:r>
      <w:r>
        <w:t xml:space="preserve"> (deseable): presupuesto de error por servicio crítico, vinculado al ritmo de</w:t>
      </w:r>
    </w:p>
    <w:p>
      <w:pPr>
        <w:spacing w:before="0" w:after="140" w:line="264" w:lineRule="auto"/>
      </w:pPr>
      <w:r>
        <w:t xml:space="preserve">despliegue de cambios.</w:t>
      </w:r>
    </w:p>
    <w:p>
      <w:pPr>
        <w:pBdr>
          <w:bottom w:val="single" w:sz="6" w:space="1" w:color="C8D2DE"/>
        </w:pBdr>
        <w:spacing w:before="160" w:after="160"/>
      </w:pPr>
    </w:p>
    <w:p>
      <w:pPr>
        <w:pStyle w:val="Heading2"/>
        <w:keepNext/>
        <w:spacing w:before="260" w:after="100"/>
      </w:pPr>
      <w:r>
        <w:t xml:space="preserve">5.14 Ciclo de vida y disposición final del equipamiento — Cap. 8.5</w:t>
      </w:r>
    </w:p>
    <w:p>
      <w:pPr>
        <w:ind w:left="340"/>
        <w:spacing w:before="20" w:after="60"/>
      </w:pPr>
      <w:r>
        <w:t xml:space="preserve">•  </w:t>
      </w:r>
      <w:r>
        <w:rPr>
          <w:b/>
        </w:rPr>
        <w:t xml:space="preserve">RT-08.16:</w:t>
      </w:r>
      <w:r>
        <w:t xml:space="preserve"> plan de ciclo de vida del equipamiento: recepción, puesta en servicio, mantención,</w:t>
      </w:r>
    </w:p>
    <w:p>
      <w:pPr>
        <w:spacing w:before="0" w:after="140" w:line="264" w:lineRule="auto"/>
      </w:pPr>
      <w:r>
        <w:t xml:space="preserve">actualización, retiro y disposición final. </w:t>
      </w:r>
      <w:r>
        <w:rPr>
          <w:b/>
        </w:rPr>
        <w:t xml:space="preserve">En este caso el plan tiene una restricción física única</w:t>
      </w:r>
      <w:r>
        <w:t xml:space="preserve">: cada etapa que toque el vehículo sólo ocurre cuando el camión pasa por un terminal, y el 22 % de la flota subcontratada pasa menos de una vez al mes.</w:t>
      </w:r>
    </w:p>
    <w:p>
      <w:pPr>
        <w:ind w:left="340"/>
        <w:spacing w:before="20" w:after="60"/>
      </w:pPr>
      <w:r>
        <w:t xml:space="preserve">•  </w:t>
      </w:r>
      <w:r>
        <w:rPr>
          <w:b/>
        </w:rPr>
        <w:t xml:space="preserve">RT-08.17:</w:t>
      </w:r>
      <w:r>
        <w:t xml:space="preserve"> todo medio de almacenamiento que salga de servicio será **borrado de forma segura</w:t>
      </w:r>
    </w:p>
    <w:p>
      <w:pPr>
        <w:spacing w:before="0" w:after="140" w:line="264" w:lineRule="auto"/>
      </w:pPr>
      <w:r>
        <w:t xml:space="preserve">y verificable, con certificado de destrucción o de sanitización entregado al CLIENTE**.</w:t>
      </w:r>
    </w:p>
    <w:p>
      <w:pPr>
        <w:spacing w:before="0" w:after="140" w:line="264" w:lineRule="auto"/>
      </w:pPr>
      <w:r>
        <w:t xml:space="preserve">&gt; Aplica de lleno a los dispositivos a bordo retirados: contienen posición y jornada de personas</w:t>
      </w:r>
    </w:p>
    <w:p>
      <w:pPr>
        <w:spacing w:before="0" w:after="140" w:line="264" w:lineRule="auto"/>
      </w:pPr>
      <w:r>
        <w:t xml:space="preserve">&gt; identificables, que RT-11.10 obliga a cifrar a nivel de campo. Un dispositivo dado de baja sin</w:t>
      </w:r>
    </w:p>
    <w:p>
      <w:pPr>
        <w:spacing w:before="0" w:after="140" w:line="264" w:lineRule="auto"/>
      </w:pPr>
      <w:r>
        <w:t xml:space="preserve">&gt; sanitizar es una fuga de datos personales.</w:t>
      </w:r>
    </w:p>
    <w:p>
      <w:pPr>
        <w:ind w:left="340"/>
        <w:spacing w:before="20" w:after="60"/>
      </w:pPr>
      <w:r>
        <w:t xml:space="preserve">•  </w:t>
      </w:r>
      <w:r>
        <w:rPr>
          <w:b/>
        </w:rPr>
        <w:t xml:space="preserve">RT-08.18:</w:t>
      </w:r>
      <w:r>
        <w:t xml:space="preserve"> disposición final del equipamiento electrónico con </w:t>
      </w:r>
      <w:r>
        <w:rPr>
          <w:b/>
        </w:rPr>
        <w:t xml:space="preserve">gestor autorizado</w:t>
      </w:r>
      <w:r>
        <w:t xml:space="preserve">, conforme</w:t>
      </w:r>
    </w:p>
    <w:p>
      <w:pPr>
        <w:spacing w:before="0" w:after="140" w:line="264" w:lineRule="auto"/>
      </w:pPr>
      <w:r>
        <w:t xml:space="preserve">a la normativa de residuos aplicable, con certificado de disposición.</w:t>
      </w:r>
    </w:p>
    <w:p>
      <w:pPr>
        <w:ind w:left="340"/>
        <w:spacing w:before="20" w:after="60"/>
      </w:pPr>
      <w:r>
        <w:t xml:space="preserve">•  </w:t>
      </w:r>
      <w:r>
        <w:rPr>
          <w:b/>
        </w:rPr>
        <w:t xml:space="preserve">RT-08.19</w:t>
      </w:r>
      <w:r>
        <w:t xml:space="preserve"> (deseable): estrategia de reacondicionamiento o de extensión de vida útil que</w:t>
      </w:r>
    </w:p>
    <w:p>
      <w:pPr>
        <w:spacing w:before="0" w:after="140" w:line="264" w:lineRule="auto"/>
      </w:pPr>
      <w:r>
        <w:t xml:space="preserve">reduzca el impacto ambiental, </w:t>
      </w:r>
      <w:r>
        <w:rPr>
          <w:b/>
        </w:rPr>
        <w:t xml:space="preserve">cuantificada en la propuesta</w:t>
      </w:r>
      <w:r>
        <w:t xml:space="preserve">. Se encadena con RT-15.03 (huella de carbono) y con RT-06.34, igual que el agente de extinción de bajo GWP.</w:t>
      </w:r>
    </w:p>
    <w:p>
      <w:pPr>
        <w:spacing w:before="0" w:after="140" w:line="264" w:lineRule="auto"/>
      </w:pPr>
      <w:r>
        <w:rPr>
          <w:b/>
        </w:rPr>
        <w:t xml:space="preserve">Y el punto que ya detectamos:</w:t>
      </w:r>
      <w:r>
        <w:t xml:space="preserve"> RT-08.13 obliga a declarar el ciclo de vida esperado, la disponibilidad de repuestos y el plan de reposición </w:t>
      </w:r>
      <w:r>
        <w:rPr>
          <w:b/>
        </w:rPr>
        <w:t xml:space="preserve">durante los 56 meses del Contrato</w:t>
      </w:r>
      <w:r>
        <w:t xml:space="preserve">. Con un dispositivo marcado como fin de vida, ese requisito no se puede firmar.</w:t>
      </w:r>
    </w:p>
    <w:p>
      <w:pPr>
        <w:pBdr>
          <w:bottom w:val="single" w:sz="6" w:space="1" w:color="C8D2DE"/>
        </w:pBdr>
        <w:spacing w:before="160" w:after="160"/>
      </w:pPr>
    </w:p>
    <w:p>
      <w:pPr>
        <w:pStyle w:val="Heading2"/>
        <w:keepNext/>
        <w:spacing w:before="260" w:after="100"/>
      </w:pPr>
      <w:r>
        <w:t xml:space="preserve">5.15 Infraestructura de cómputo y puestos de trabajo — Cap. 8.1 y 8.2</w:t>
      </w:r>
    </w:p>
    <w:p>
      <w:pPr>
        <w:spacing w:before="0" w:after="140" w:line="264" w:lineRule="auto"/>
      </w:pPr>
      <w:r>
        <w:rPr>
          <w:b/>
        </w:rPr>
        <w:t xml:space="preserve">RT-08.01</w:t>
      </w:r>
      <w:r>
        <w:t xml:space="preserve"> exige especificar el equipamiento de cómputo con </w:t>
      </w:r>
      <w:r>
        <w:rPr>
          <w:b/>
        </w:rPr>
        <w:t xml:space="preserve">marca, modelo de referencia, procesador, memoria, almacenamiento local, interfaces y consumo, junto con el cálculo de dimensionamiento que lo sustenta</w:t>
      </w:r>
      <w:r>
        <w:t xml:space="preserve">. Aplica al hardware de San Bernardo y de los gabinetes de terminal.</w:t>
      </w:r>
    </w:p>
    <w:p>
      <w:pPr>
        <w:spacing w:before="0" w:after="140" w:line="264" w:lineRule="auto"/>
      </w:pPr>
      <w:r>
        <w:rPr>
          <w:b/>
        </w:rPr>
        <w:t xml:space="preserve">Los puestos de trabajo del numeral 8.2 no estaban asignados a nadie</w:t>
      </w:r>
      <w:r>
        <w:t xml:space="preserve">, y la población es conocida: torre de programación de </w:t>
      </w:r>
      <w:r>
        <w:rPr>
          <w:b/>
        </w:rPr>
        <w:t xml:space="preserve">22 personas en turnos 24×7</w:t>
      </w:r>
      <w:r>
        <w:t xml:space="preserve">, área de TI de </w:t>
      </w:r>
      <w:r>
        <w:rPr>
          <w:b/>
        </w:rPr>
        <w:t xml:space="preserve">9 personas</w:t>
      </w:r>
      <w:r>
        <w:t xml:space="preserve">, </w:t>
      </w:r>
      <w:r>
        <w:rPr>
          <w:b/>
        </w:rPr>
        <w:t xml:space="preserve">336 personas propias con acceso a sistemas</w:t>
      </w:r>
      <w:r>
        <w:t xml:space="preserve"> (Cap. 14.1, pág. 29/49).</w:t>
      </w:r>
    </w:p>
    <w:p>
      <w:pPr>
        <w:ind w:left="340"/>
        <w:spacing w:before="20" w:after="60"/>
      </w:pPr>
      <w:r>
        <w:t xml:space="preserve">•  </w:t>
      </w:r>
      <w:r>
        <w:rPr>
          <w:b/>
        </w:rPr>
        <w:t xml:space="preserve">RT-08.07:</w:t>
      </w:r>
      <w:r>
        <w:t xml:space="preserve"> especificar las estaciones de trabajo para la operación y la administración de la</w:t>
      </w:r>
    </w:p>
    <w:p>
      <w:pPr>
        <w:spacing w:before="0" w:after="140" w:line="264" w:lineRule="auto"/>
      </w:pPr>
      <w:r>
        <w:t xml:space="preserve">plataforma, en la cantidad que determine el dimensionamiento, </w:t>
      </w:r>
      <w:r>
        <w:rPr>
          <w:b/>
        </w:rPr>
        <w:t xml:space="preserve">con monitores duales</w:t>
      </w:r>
      <w:r>
        <w:t xml:space="preserve">.</w:t>
      </w:r>
    </w:p>
    <w:p>
      <w:pPr>
        <w:ind w:left="340"/>
        <w:spacing w:before="20" w:after="60"/>
      </w:pPr>
      <w:r>
        <w:t xml:space="preserve">•  </w:t>
      </w:r>
      <w:r>
        <w:rPr>
          <w:b/>
        </w:rPr>
        <w:t xml:space="preserve">RT-08.08:</w:t>
      </w:r>
      <w:r>
        <w:t xml:space="preserve"> los puestos cumplirán las condiciones ergonómicas de la </w:t>
      </w:r>
      <w:r>
        <w:rPr>
          <w:b/>
        </w:rPr>
        <w:t xml:space="preserve">NCh 2527</w:t>
      </w:r>
      <w:r>
        <w:t xml:space="preserve"> y los equipos</w:t>
      </w:r>
    </w:p>
    <w:p>
      <w:pPr>
        <w:spacing w:before="0" w:after="140" w:line="264" w:lineRule="auto"/>
      </w:pPr>
      <w:r>
        <w:t xml:space="preserve">contarán con certificación de eficiencia energética. </w:t>
      </w:r>
      <w:r>
        <w:rPr>
          <w:i/>
        </w:rPr>
        <w:t xml:space="preserve">Verificar la norma en el INN antes de citarla; si el código no corresponde, es consulta.</w:t>
      </w:r>
    </w:p>
    <w:p>
      <w:pPr>
        <w:ind w:left="340"/>
        <w:spacing w:before="20" w:after="60"/>
      </w:pPr>
      <w:r>
        <w:t xml:space="preserve">•  </w:t>
      </w:r>
      <w:r>
        <w:rPr>
          <w:b/>
        </w:rPr>
        <w:t xml:space="preserve">RT-08.09:</w:t>
      </w:r>
      <w:r>
        <w:t xml:space="preserve"> estaciones gestionadas de forma centralizada, con **cifrado de disco, control de</w:t>
      </w:r>
    </w:p>
    <w:p>
      <w:pPr>
        <w:spacing w:before="0" w:after="140" w:line="264" w:lineRule="auto"/>
      </w:pPr>
      <w:r>
        <w:t xml:space="preserve">dispositivos extraíbles, antivirus con detección y respuesta y actualización automatizada**.</w:t>
      </w:r>
    </w:p>
    <w:p>
      <w:pPr>
        <w:ind w:left="340"/>
        <w:spacing w:before="20" w:after="60"/>
      </w:pPr>
      <w:r>
        <w:t xml:space="preserve">•  </w:t>
      </w:r>
      <w:r>
        <w:rPr>
          <w:b/>
        </w:rPr>
        <w:t xml:space="preserve">RT-08.14:</w:t>
      </w:r>
      <w:r>
        <w:t xml:space="preserve"> los dispositivos de terreno se integran a la gestión centralizada de flota exigida</w:t>
      </w:r>
    </w:p>
    <w:p>
      <w:pPr>
        <w:spacing w:before="0" w:after="140" w:line="264" w:lineRule="auto"/>
      </w:pPr>
      <w:r>
        <w:t xml:space="preserve">en RT-03.18.</w:t>
      </w:r>
    </w:p>
    <w:p>
      <w:pPr>
        <w:ind w:left="340"/>
        <w:spacing w:before="20" w:after="60"/>
      </w:pPr>
      <w:r>
        <w:t xml:space="preserve">•  </w:t>
      </w:r>
      <w:r>
        <w:rPr>
          <w:b/>
        </w:rPr>
        <w:t xml:space="preserve">RT-08.15</w:t>
      </w:r>
      <w:r>
        <w:t xml:space="preserve"> (deseable): proveer **una unidad de cada tipo de dispositivo especificado para</w:t>
      </w:r>
    </w:p>
    <w:p>
      <w:pPr>
        <w:spacing w:before="0" w:after="140" w:line="264" w:lineRule="auto"/>
      </w:pPr>
      <w:r>
        <w:t xml:space="preserve">pruebas de aceptación del CLIENTE antes de la compra masiva**.</w:t>
      </w:r>
    </w:p>
    <w:p>
      <w:pPr>
        <w:spacing w:before="0" w:after="140" w:line="264" w:lineRule="auto"/>
      </w:pPr>
      <w:r>
        <w:t xml:space="preserve">&gt; En este caso es más que deseable: es la única forma de validar en terreno el buffer de 72 h y</w:t>
      </w:r>
    </w:p>
    <w:p>
      <w:pPr>
        <w:spacing w:before="0" w:after="140" w:line="264" w:lineRule="auto"/>
      </w:pPr>
      <w:r>
        <w:t xml:space="preserve">&gt; el comportamiento térmico en el norte </w:t>
      </w:r>
      <w:r>
        <w:rPr>
          <w:b/>
        </w:rPr>
        <w:t xml:space="preserve">antes</w:t>
      </w:r>
      <w:r>
        <w:t xml:space="preserve"> de comprometer el parque completo. Conviene</w:t>
      </w:r>
    </w:p>
    <w:p>
      <w:pPr>
        <w:spacing w:before="0" w:after="140" w:line="264" w:lineRule="auto"/>
      </w:pPr>
      <w:r>
        <w:t xml:space="preserve">&gt; ofrecerlo aunque sea deseable, porque además desactiva el riesgo del dispositivo en fin de vida.</w:t>
      </w:r>
    </w:p>
    <w:p>
      <w:pPr>
        <w:pBdr>
          <w:bottom w:val="single" w:sz="6" w:space="1" w:color="C8D2DE"/>
        </w:pBdr>
        <w:spacing w:before="160" w:after="160"/>
      </w:pPr>
    </w:p>
    <w:p>
      <w:pPr>
        <w:pStyle w:val="Heading2"/>
        <w:keepNext/>
        <w:spacing w:before="260" w:after="100"/>
      </w:pPr>
      <w:r>
        <w:t xml:space="preserve">5.16 Requisitos del Capítulo 6 que faltaban</w:t>
      </w:r>
    </w:p>
    <w:p>
      <w:pPr>
        <w:ind w:left="340"/>
        <w:spacing w:before="20" w:after="60"/>
      </w:pPr>
      <w:r>
        <w:t xml:space="preserve">•  </w:t>
      </w:r>
      <w:r>
        <w:rPr>
          <w:b/>
        </w:rPr>
        <w:t xml:space="preserve">RT-06.02:</w:t>
      </w:r>
      <w:r>
        <w:t xml:space="preserve"> los muros no estructurales del recinto contarán con </w:t>
      </w:r>
      <w:r>
        <w:rPr>
          <w:b/>
        </w:rPr>
        <w:t xml:space="preserve">blindaje perimetral</w:t>
      </w:r>
      <w:r>
        <w:t xml:space="preserve">; el</w:t>
      </w:r>
    </w:p>
    <w:p>
      <w:pPr>
        <w:spacing w:before="0" w:after="140" w:line="264" w:lineRule="auto"/>
      </w:pPr>
      <w:r>
        <w:t xml:space="preserve">PROPONENTE especificará el material y la resistencia.</w:t>
      </w:r>
    </w:p>
    <w:p>
      <w:pPr>
        <w:ind w:left="340"/>
        <w:spacing w:before="20" w:after="60"/>
      </w:pPr>
      <w:r>
        <w:t xml:space="preserve">•  </w:t>
      </w:r>
      <w:r>
        <w:rPr>
          <w:b/>
        </w:rPr>
        <w:t xml:space="preserve">RT-06.03:</w:t>
      </w:r>
      <w:r>
        <w:t xml:space="preserve"> entregar el </w:t>
      </w:r>
      <w:r>
        <w:rPr>
          <w:b/>
        </w:rPr>
        <w:t xml:space="preserve">plano de distribución interna</w:t>
      </w:r>
      <w:r>
        <w:t xml:space="preserve"> con separación de las zonas de</w:t>
      </w:r>
    </w:p>
    <w:p>
      <w:pPr>
        <w:spacing w:before="0" w:after="140" w:line="264" w:lineRule="auto"/>
      </w:pPr>
      <w:r>
        <w:t xml:space="preserve">generadores, baterías, climatización, servidores, comunicaciones, trabajo y respaldo.</w:t>
      </w:r>
    </w:p>
    <w:p>
      <w:pPr>
        <w:spacing w:before="0" w:after="140" w:line="264" w:lineRule="auto"/>
      </w:pPr>
      <w:r>
        <w:t xml:space="preserve">&gt; </w:t>
      </w:r>
      <w:r>
        <w:rPr>
          <w:b/>
        </w:rPr>
        <w:t xml:space="preserve">Es un entregable gráfico, y en 26 m² es una restricción real de diseño.</w:t>
      </w:r>
      <w:r>
        <w:t xml:space="preserve"> Separar siete</w:t>
      </w:r>
    </w:p>
    <w:p>
      <w:pPr>
        <w:spacing w:before="0" w:after="140" w:line="264" w:lineRule="auto"/>
      </w:pPr>
      <w:r>
        <w:t xml:space="preserve">&gt; zonas en esa superficie es justamente lo que obliga a decidir la tipología del numeral 6.1 y</w:t>
      </w:r>
    </w:p>
    <w:p>
      <w:pPr>
        <w:spacing w:before="0" w:after="140" w:line="264" w:lineRule="auto"/>
      </w:pPr>
      <w:r>
        <w:t xml:space="preserve">&gt; refuerza la consulta C-05 sobre si el espacio admite ampliación.</w:t>
      </w:r>
    </w:p>
    <w:p>
      <w:pPr>
        <w:ind w:left="340"/>
        <w:spacing w:before="20" w:after="60"/>
      </w:pPr>
      <w:r>
        <w:t xml:space="preserve">•  </w:t>
      </w:r>
      <w:r>
        <w:rPr>
          <w:b/>
        </w:rPr>
        <w:t xml:space="preserve">RT-06.04:</w:t>
      </w:r>
      <w:r>
        <w:t xml:space="preserve"> piso técnico, canalización, cableado estructurado y etiquetado conforme a norma,</w:t>
      </w:r>
    </w:p>
    <w:p>
      <w:pPr>
        <w:spacing w:before="0" w:after="140" w:line="264" w:lineRule="auto"/>
      </w:pPr>
      <w:r>
        <w:rPr>
          <w:b/>
        </w:rPr>
        <w:t xml:space="preserve">con documentación de la certificación de cada enlace</w:t>
      </w:r>
      <w:r>
        <w:t xml:space="preserve">.</w:t>
      </w:r>
    </w:p>
    <w:p>
      <w:pPr>
        <w:ind w:left="340"/>
        <w:spacing w:before="20" w:after="60"/>
      </w:pPr>
      <w:r>
        <w:t xml:space="preserve">•  </w:t>
      </w:r>
      <w:r>
        <w:rPr>
          <w:b/>
        </w:rPr>
        <w:t xml:space="preserve">RT-06.12</w:t>
      </w:r>
      <w:r>
        <w:t xml:space="preserve"> (deseable): redundancia de alimentación en configuración </w:t>
      </w:r>
      <w:r>
        <w:rPr>
          <w:b/>
        </w:rPr>
        <w:t xml:space="preserve">2N o N+1</w:t>
      </w:r>
      <w:r>
        <w:t xml:space="preserve"> con doble</w:t>
      </w:r>
    </w:p>
    <w:p>
      <w:pPr>
        <w:spacing w:before="0" w:after="140" w:line="264" w:lineRule="auto"/>
      </w:pPr>
      <w:r>
        <w:t xml:space="preserve">acometida y transferencia automática.</w:t>
      </w:r>
    </w:p>
    <w:p>
      <w:pPr>
        <w:ind w:left="340"/>
        <w:spacing w:before="20" w:after="60"/>
      </w:pPr>
      <w:r>
        <w:t xml:space="preserve">•  </w:t>
      </w:r>
      <w:r>
        <w:rPr>
          <w:b/>
        </w:rPr>
        <w:t xml:space="preserve">RT-06.15</w:t>
      </w:r>
      <w:r>
        <w:t xml:space="preserve"> (deseable): estrategia de contención de pasillo frío o caliente y su efecto en la</w:t>
      </w:r>
    </w:p>
    <w:p>
      <w:pPr>
        <w:spacing w:before="0" w:after="140" w:line="264" w:lineRule="auto"/>
      </w:pPr>
      <w:r>
        <w:t xml:space="preserve">eficiencia energética. Con dos racks probablemente no aplica: </w:t>
      </w:r>
      <w:r>
        <w:rPr>
          <w:b/>
        </w:rPr>
        <w:t xml:space="preserve">declararlo y justificar por qué no</w:t>
      </w:r>
      <w:r>
        <w:t xml:space="preserve">, en lugar de omitirlo, porque la omisión se lee como olvido.</w:t>
      </w:r>
    </w:p>
    <w:p>
      <w:pPr>
        <w:ind w:left="340"/>
        <w:spacing w:before="20" w:after="60"/>
      </w:pPr>
      <w:r>
        <w:t xml:space="preserve">•  </w:t>
      </w:r>
      <w:r>
        <w:rPr>
          <w:b/>
        </w:rPr>
        <w:t xml:space="preserve">RT-06.22:</w:t>
      </w:r>
      <w:r>
        <w:t xml:space="preserve"> espacio para la atención de personas en proceso de </w:t>
      </w:r>
      <w:r>
        <w:rPr>
          <w:b/>
        </w:rPr>
        <w:t xml:space="preserve">enrolamiento</w:t>
      </w:r>
      <w:r>
        <w:t xml:space="preserve"> entre el</w:t>
      </w:r>
    </w:p>
    <w:p>
      <w:pPr>
        <w:spacing w:before="0" w:after="140" w:line="264" w:lineRule="auto"/>
      </w:pPr>
      <w:r>
        <w:t xml:space="preserve">acceso principal y el término del pasillo de la zona de control. Las bases evalúan mejor que la estación de enrolamiento esté </w:t>
      </w:r>
      <w:r>
        <w:rPr>
          <w:b/>
        </w:rPr>
        <w:t xml:space="preserve">fuera</w:t>
      </w:r>
      <w:r>
        <w:t xml:space="preserve"> del recinto técnico.</w:t>
      </w:r>
    </w:p>
    <w:p>
      <w:pPr>
        <w:ind w:left="340"/>
        <w:spacing w:before="20" w:after="60"/>
      </w:pPr>
      <w:r>
        <w:t xml:space="preserve">•  </w:t>
      </w:r>
      <w:r>
        <w:rPr>
          <w:b/>
        </w:rPr>
        <w:t xml:space="preserve">RT-06.23:</w:t>
      </w:r>
      <w:r>
        <w:t xml:space="preserve"> al término del pasillo, un acceso que **impida el paso de más de una persona a la</w:t>
      </w:r>
    </w:p>
    <w:p>
      <w:pPr>
        <w:spacing w:before="0" w:after="140" w:line="264" w:lineRule="auto"/>
      </w:pPr>
      <w:r>
        <w:t xml:space="preserve">vez**, con nueva verificación de identidad previa al ingreso.</w:t>
      </w:r>
    </w:p>
    <w:p>
      <w:pPr>
        <w:ind w:left="340"/>
        <w:spacing w:before="20" w:after="60"/>
      </w:pPr>
      <w:r>
        <w:t xml:space="preserve">•  </w:t>
      </w:r>
      <w:r>
        <w:rPr>
          <w:b/>
        </w:rPr>
        <w:t xml:space="preserve">RT-06.27:</w:t>
      </w:r>
      <w:r>
        <w:t xml:space="preserve"> el recinto de custodia cumplirá exigencias de </w:t>
      </w:r>
      <w:r>
        <w:rPr>
          <w:b/>
        </w:rPr>
        <w:t xml:space="preserve">luminosidad, humedad, ventilación</w:t>
      </w:r>
    </w:p>
    <w:p>
      <w:pPr>
        <w:spacing w:before="0" w:after="140" w:line="264" w:lineRule="auto"/>
      </w:pPr>
      <w:r>
        <w:t xml:space="preserve">y cualquier otro factor que pueda afectar la calidad y disponibilidad de los medios.</w:t>
      </w:r>
    </w:p>
    <w:p>
      <w:pPr>
        <w:ind w:left="340"/>
        <w:spacing w:before="20" w:after="60"/>
      </w:pPr>
      <w:r>
        <w:t xml:space="preserve">•  </w:t>
      </w:r>
      <w:r>
        <w:rPr>
          <w:b/>
        </w:rPr>
        <w:t xml:space="preserve">RT-06.33:</w:t>
      </w:r>
      <w:r>
        <w:t xml:space="preserve"> el PROPONENTE proveerá **toda la conectividad, la seguridad y las canalizaciones,</w:t>
      </w:r>
    </w:p>
    <w:p>
      <w:pPr>
        <w:spacing w:before="0" w:after="140" w:line="264" w:lineRule="auto"/>
      </w:pPr>
      <w:r>
        <w:t xml:space="preserve">cañerías o ductos** requeridos para cumplir los niveles de servicio comprometidos.</w:t>
      </w:r>
    </w:p>
    <w:p>
      <w:pPr>
        <w:shd w:val="clear" w:fill="FDF3F3"/>
        <w:pBdr>
          <w:left w:val="single" w:sz="18" w:space="8" w:color="D98A8A"/>
        </w:pBdr>
        <w:ind w:left="200"/>
        <w:spacing w:before="100" w:after="140"/>
      </w:pPr>
      <w:r>
        <w:rPr>
          <w:sz w:val="21"/>
          <w:szCs w:val="21"/>
        </w:rPr>
        <w:t xml:space="preserve">⚠ </w:t>
      </w:r>
      <w:r>
        <w:rPr>
          <w:b/>
          <w:sz w:val="21"/>
          <w:szCs w:val="21"/>
        </w:rPr>
        <w:t xml:space="preserve">Tensión con la tipología declarada, y es importante.</w:t>
      </w:r>
      <w:r>
        <w:rPr>
          <w:sz w:val="21"/>
          <w:szCs w:val="21"/>
        </w:rPr>
        <w:t xml:space="preserve"> El blindaje perimetral (RT-06.02), la esclusa (RT-06.23) y el espacio de enrolamiento (RT-06.22) pertenecen al bloque RT-06.01 a RT-06.24, que el numeral 6.1 aplica </w:t>
      </w:r>
      <w:r>
        <w:rPr>
          <w:b/>
          <w:sz w:val="21"/>
          <w:szCs w:val="21"/>
        </w:rPr>
        <w:t xml:space="preserve">íntegramente sólo a la sala técnica principal</w:t>
      </w:r>
      <w:r>
        <w:rPr>
          <w:sz w:val="21"/>
          <w:szCs w:val="21"/>
        </w:rPr>
        <w:t xml:space="preserve">. Si San Bernardo se declara «sala técnica secundaria o de sitio», ese numeral exige energía, climatización, control de acceso, detección de incendio y monitoreo </w:t>
      </w:r>
      <w:r>
        <w:rPr>
          <w:b/>
          <w:sz w:val="21"/>
          <w:szCs w:val="21"/>
        </w:rPr>
        <w:t xml:space="preserve">dimensionados al sitio</w:t>
      </w:r>
      <w:r>
        <w:rPr>
          <w:sz w:val="21"/>
          <w:szCs w:val="21"/>
        </w:rPr>
        <w:t xml:space="preserve">, y no necesariamente esclusa ni blindaje. </w:t>
      </w:r>
      <w:r>
        <w:rPr>
          <w:b/>
          <w:sz w:val="21"/>
          <w:szCs w:val="21"/>
        </w:rPr>
        <w:t xml:space="preserve">La diferencia de costo es grande en ambas direcciones y la decisión no es nuestra:</w:t>
      </w:r>
      <w:r>
        <w:rPr>
          <w:sz w:val="21"/>
          <w:szCs w:val="21"/>
        </w:rPr>
        <w:t xml:space="preserve"> por eso C-03 es la consulta más importante de D4. Mientras no haya respuesta, la propuesta declara la tipología de sitio, la justifica, y deja el alcance íntegro como alternativa costeada aparte.</w:t>
      </w:r>
    </w:p>
    <w:p>
      <w:pPr>
        <w:pBdr>
          <w:bottom w:val="single" w:sz="6" w:space="1" w:color="C8D2DE"/>
        </w:pBdr>
        <w:spacing w:before="160" w:after="160"/>
      </w:pPr>
    </w:p>
    <w:p>
      <w:pPr>
        <w:pStyle w:val="Heading2"/>
        <w:keepNext/>
        <w:spacing w:before="260" w:after="100"/>
      </w:pPr>
      <w:r>
        <w:t xml:space="preserve">5.17 Capítulo 3 — tres requisitos que faltaban</w:t>
      </w:r>
    </w:p>
    <w:p>
      <w:pPr>
        <w:ind w:left="340"/>
        <w:spacing w:before="20" w:after="60"/>
      </w:pPr>
      <w:r>
        <w:t xml:space="preserve">•  </w:t>
      </w:r>
      <w:r>
        <w:rPr>
          <w:b/>
        </w:rPr>
        <w:t xml:space="preserve">RT-03.11:</w:t>
      </w:r>
      <w:r>
        <w:t xml:space="preserve"> durante la operación desconectada, la solución continuará registrando las</w:t>
      </w:r>
    </w:p>
    <w:p>
      <w:pPr>
        <w:spacing w:before="0" w:after="140" w:line="264" w:lineRule="auto"/>
      </w:pPr>
      <w:r>
        <w:t xml:space="preserve">transacciones operacionales críticas de forma local, </w:t>
      </w:r>
      <w:r>
        <w:rPr>
          <w:b/>
        </w:rPr>
        <w:t xml:space="preserve">con integridad garantizada y sin pérdida de datos</w:t>
      </w:r>
      <w:r>
        <w:t xml:space="preserve">. Es el complemento exacto de RT-03.10 y hay que citarlo junto a él.</w:t>
      </w:r>
    </w:p>
    <w:p>
      <w:pPr>
        <w:ind w:left="340"/>
        <w:spacing w:before="20" w:after="60"/>
      </w:pPr>
      <w:r>
        <w:t xml:space="preserve">•  </w:t>
      </w:r>
      <w:r>
        <w:rPr>
          <w:b/>
        </w:rPr>
        <w:t xml:space="preserve">RT-03.19</w:t>
      </w:r>
      <w:r>
        <w:t xml:space="preserve"> (deseable): se valorará el </w:t>
      </w:r>
      <w:r>
        <w:rPr>
          <w:b/>
        </w:rPr>
        <w:t xml:space="preserve">procesamiento en el borde</w:t>
      </w:r>
      <w:r>
        <w:t xml:space="preserve"> de las cargas que lo</w:t>
      </w:r>
    </w:p>
    <w:p>
      <w:pPr>
        <w:spacing w:before="0" w:after="140" w:line="264" w:lineRule="auto"/>
      </w:pPr>
      <w:r>
        <w:t xml:space="preserve">admitan —filtrado, agregación previa, inferencia local— reduciendo el volumen transferido y la dependencia del enlace.</w:t>
      </w:r>
    </w:p>
    <w:p>
      <w:pPr>
        <w:spacing w:before="0" w:after="140" w:line="264" w:lineRule="auto"/>
      </w:pPr>
      <w:r>
        <w:t xml:space="preserve">&gt; </w:t>
      </w:r>
      <w:r>
        <w:rPr>
          <w:b/>
        </w:rPr>
        <w:t xml:space="preserve">Ya lo estamos haciendo y no lo estábamos nombrando:</w:t>
      </w:r>
      <w:r>
        <w:t xml:space="preserve"> las geocercas se evalúan a bordo y la</w:t>
      </w:r>
    </w:p>
    <w:p>
      <w:pPr>
        <w:spacing w:before="0" w:after="140" w:line="264" w:lineRule="auto"/>
      </w:pPr>
      <w:r>
        <w:t xml:space="preserve">&gt; alerta de jornada se calcula a bordo. Citarlo con su código es puntaje regalado.</w:t>
      </w:r>
    </w:p>
    <w:p>
      <w:pPr>
        <w:ind w:left="340"/>
        <w:spacing w:before="20" w:after="60"/>
      </w:pPr>
      <w:r>
        <w:t xml:space="preserve">•  </w:t>
      </w:r>
      <w:r>
        <w:rPr>
          <w:b/>
        </w:rPr>
        <w:t xml:space="preserve">RT-03.23</w:t>
      </w:r>
      <w:r>
        <w:t xml:space="preserve"> (según caso): la red inalámbrica de los sitios operacionales contará con</w:t>
      </w:r>
    </w:p>
    <w:p>
      <w:pPr>
        <w:spacing w:before="0" w:after="140" w:line="264" w:lineRule="auto"/>
      </w:pPr>
      <w:r>
        <w:t xml:space="preserve">segmentación por tipo de dispositivo, autenticación por certificado o credencial de empresa y </w:t>
      </w:r>
      <w:r>
        <w:rPr>
          <w:b/>
        </w:rPr>
        <w:t xml:space="preserve">cobertura verificada mediante estudio de sitio</w:t>
      </w:r>
      <w:r>
        <w:t xml:space="preserve">. Aplica a los cinco terminales y los dos talleres propios.</w:t>
      </w:r>
    </w:p>
    <w:p>
      <w:pPr>
        <w:pStyle w:val="Heading2"/>
        <w:keepNext/>
        <w:spacing w:before="260" w:after="100"/>
      </w:pPr>
      <w:r>
        <w:t xml:space="preserve">5.18 Tecnologías de software</w:t>
      </w:r>
    </w:p>
    <w:p>
      <w:pPr>
        <w:spacing w:before="0" w:after="140" w:line="264" w:lineRule="auto"/>
      </w:pPr>
      <w:r>
        <w:t xml:space="preserve">El plan (pág. 5/9) exige «versión, fecha de fin de soporte y plan de actualización que cubra los 56 meses». Plantilla obligatoria — </w:t>
      </w:r>
      <w:r>
        <w:rPr>
          <w:b/>
        </w:rPr>
        <w:t xml:space="preserve">una fila por producto, sin excepción</w:t>
      </w:r>
      <w:r>
        <w:t xml:space="preserve">:</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1558"/>
        <w:gridCol w:w="1558"/>
        <w:gridCol w:w="1558"/>
        <w:gridCol w:w="1558"/>
        <w:gridCol w:w="1558"/>
        <w:gridCol w:w="1558"/>
      </w:tblGrid>
      <w:tr>
        <w:trPr>
          <w:tblHeader/>
          <w:cantSplit/>
        </w:trPr>
        <w:tc>
          <w:tcPr>
            <w:tcW w:w="1558" w:type="dxa"/>
            <w:shd w:val="clear" w:fill="EDF2F8"/>
            <w:vAlign w:val="top"/>
          </w:tcPr>
          <w:p>
            <w:pPr>
              <w:spacing w:before="40" w:after="40"/>
              <w:rPr>
                <w:sz w:val="18"/>
              </w:rPr>
            </w:pPr>
            <w:r>
              <w:rPr>
                <w:b/>
                <w:sz w:val="18"/>
                <w:szCs w:val="18"/>
              </w:rPr>
              <w:t xml:space="preserve">Producto</w:t>
            </w:r>
          </w:p>
        </w:tc>
        <w:tc>
          <w:tcPr>
            <w:tcW w:w="1558" w:type="dxa"/>
            <w:shd w:val="clear" w:fill="EDF2F8"/>
            <w:vAlign w:val="top"/>
          </w:tcPr>
          <w:p>
            <w:pPr>
              <w:spacing w:before="40" w:after="40"/>
              <w:rPr>
                <w:sz w:val="18"/>
              </w:rPr>
            </w:pPr>
            <w:r>
              <w:rPr>
                <w:b/>
                <w:sz w:val="18"/>
                <w:szCs w:val="18"/>
              </w:rPr>
              <w:t xml:space="preserve">Versión ofertada</w:t>
            </w:r>
          </w:p>
        </w:tc>
        <w:tc>
          <w:tcPr>
            <w:tcW w:w="1558" w:type="dxa"/>
            <w:shd w:val="clear" w:fill="EDF2F8"/>
            <w:vAlign w:val="top"/>
          </w:tcPr>
          <w:p>
            <w:pPr>
              <w:spacing w:before="40" w:after="40"/>
              <w:rPr>
                <w:sz w:val="18"/>
              </w:rPr>
            </w:pPr>
            <w:r>
              <w:rPr>
                <w:b/>
                <w:sz w:val="18"/>
                <w:szCs w:val="18"/>
              </w:rPr>
              <w:t xml:space="preserve">Fin de soporte del fabricante</w:t>
            </w:r>
          </w:p>
        </w:tc>
        <w:tc>
          <w:tcPr>
            <w:tcW w:w="1558" w:type="dxa"/>
            <w:shd w:val="clear" w:fill="EDF2F8"/>
            <w:vAlign w:val="top"/>
          </w:tcPr>
          <w:p>
            <w:pPr>
              <w:spacing w:before="40" w:after="40"/>
              <w:rPr>
                <w:sz w:val="18"/>
              </w:rPr>
            </w:pPr>
            <w:r>
              <w:rPr>
                <w:b/>
                <w:sz w:val="18"/>
                <w:szCs w:val="18"/>
              </w:rPr>
              <w:t xml:space="preserve">Cobertura de los 56 meses</w:t>
            </w:r>
          </w:p>
        </w:tc>
        <w:tc>
          <w:tcPr>
            <w:tcW w:w="1558" w:type="dxa"/>
            <w:shd w:val="clear" w:fill="EDF2F8"/>
            <w:vAlign w:val="top"/>
          </w:tcPr>
          <w:p>
            <w:pPr>
              <w:spacing w:before="40" w:after="40"/>
              <w:rPr>
                <w:sz w:val="18"/>
              </w:rPr>
            </w:pPr>
            <w:r>
              <w:rPr>
                <w:b/>
                <w:sz w:val="18"/>
                <w:szCs w:val="18"/>
              </w:rPr>
              <w:t xml:space="preserve">Plan de actualización</w:t>
            </w:r>
          </w:p>
        </w:tc>
        <w:tc>
          <w:tcPr>
            <w:tcW w:w="1558" w:type="dxa"/>
            <w:shd w:val="clear" w:fill="EDF2F8"/>
            <w:vAlign w:val="top"/>
          </w:tcPr>
          <w:p>
            <w:pPr>
              <w:spacing w:before="40" w:after="40"/>
              <w:rPr>
                <w:sz w:val="18"/>
              </w:rPr>
            </w:pPr>
            <w:r>
              <w:rPr>
                <w:b/>
                <w:sz w:val="18"/>
                <w:szCs w:val="18"/>
              </w:rPr>
              <w:t xml:space="preserve">Reversibilidad (RT-03.07)</w:t>
            </w:r>
          </w:p>
        </w:tc>
      </w:tr>
    </w:tbl>
    <w:p>
      <w:pPr>
        <w:spacing w:before="0" w:after="100"/>
      </w:pPr>
    </w:p>
    <w:p>
      <w:pPr>
        <w:spacing w:before="0" w:after="140" w:line="264" w:lineRule="auto"/>
      </w:pPr>
      <w:r>
        <w:t xml:space="preserve">Reglas que gobiernan las elecciones:</w:t>
      </w:r>
    </w:p>
    <w:p>
      <w:pPr>
        <w:ind w:left="340"/>
        <w:spacing w:before="20" w:after="60"/>
      </w:pPr>
      <w:r>
        <w:t xml:space="preserve">•  </w:t>
      </w:r>
      <w:r>
        <w:rPr>
          <w:b/>
        </w:rPr>
        <w:t xml:space="preserve">RT-03.05</w:t>
      </w:r>
      <w:r>
        <w:t xml:space="preserve">: privilegiar servicios administrados sobre autoadministrados cuando reduzca riesgo</w:t>
      </w:r>
    </w:p>
    <w:p>
      <w:pPr>
        <w:spacing w:before="0" w:after="140" w:line="264" w:lineRule="auto"/>
      </w:pPr>
      <w:r>
        <w:t xml:space="preserve">operacional, y </w:t>
      </w:r>
      <w:r>
        <w:rPr>
          <w:b/>
        </w:rPr>
        <w:t xml:space="preserve">justificar cada excepción</w:t>
      </w:r>
      <w:r>
        <w:t xml:space="preserve">.</w:t>
      </w:r>
    </w:p>
    <w:p>
      <w:pPr>
        <w:ind w:left="340"/>
        <w:spacing w:before="20" w:after="60"/>
      </w:pPr>
      <w:r>
        <w:t xml:space="preserve">•  </w:t>
      </w:r>
      <w:r>
        <w:rPr>
          <w:b/>
        </w:rPr>
        <w:t xml:space="preserve">Numeral 2.3</w:t>
      </w:r>
      <w:r>
        <w:t xml:space="preserve">: comparar al menos dos alternativas y explicar por qué se descarta la no elegida.</w:t>
      </w:r>
    </w:p>
    <w:p>
      <w:pPr>
        <w:ind w:left="340"/>
        <w:spacing w:before="20" w:after="60"/>
      </w:pPr>
      <w:r>
        <w:t xml:space="preserve">•  </w:t>
      </w:r>
      <w:r>
        <w:rPr>
          <w:b/>
        </w:rPr>
        <w:t xml:space="preserve">Error que el caso castiga explícitamente</w:t>
      </w:r>
      <w:r>
        <w:t xml:space="preserve"> (num. 2.3): adoptar microservicios sin volumen que</w:t>
      </w:r>
    </w:p>
    <w:p>
      <w:pPr>
        <w:spacing w:before="0" w:after="140" w:line="264" w:lineRule="auto"/>
      </w:pPr>
      <w:r>
        <w:t xml:space="preserve">lo justifique — «error de ingeniería». Con ~96.000 viajes/año, </w:t>
      </w:r>
      <w:r>
        <w:rPr>
          <w:b/>
        </w:rPr>
        <w:t xml:space="preserve">hay que justificar el estilo arquitectónico con la volumetría, no con la moda</w:t>
      </w:r>
      <w:r>
        <w:t xml:space="preserve">. Coordinar con D3.</w:t>
      </w:r>
    </w:p>
    <w:p>
      <w:pPr>
        <w:pBdr>
          <w:bottom w:val="single" w:sz="6" w:space="1" w:color="C8D2DE"/>
        </w:pBdr>
        <w:spacing w:before="160" w:after="160"/>
      </w:pPr>
    </w:p>
    <w:p>
      <w:pPr>
        <w:pStyle w:val="Heading2"/>
        <w:keepNext/>
        <w:spacing w:before="260" w:after="100"/>
      </w:pPr>
      <w:r>
        <w:t xml:space="preserve">5.19 Diagramas</w:t>
      </w:r>
    </w:p>
    <w:p>
      <w:pPr>
        <w:pStyle w:val="Heading3"/>
        <w:keepNext/>
        <w:spacing w:before="200" w:after="80"/>
      </w:pPr>
      <w:r>
        <w:t xml:space="preserve">Diagrama 1 — Arquitectura física general</w:t>
      </w:r>
    </w:p>
    <w:p>
      <w:pPr>
        <w:pStyle w:val="Codigo"/>
        <w:shd w:val="clear" w:fill="F7F9FC"/>
        <w:spacing w:before="100" w:after="100" w:line="200" w:lineRule="auto"/>
        <w:pBdr>
          <w:left w:val="single" w:sz="12" w:space="6" w:color="C8D2DE"/>
        </w:pBdr>
      </w:pPr>
      <w:r>
        <w:t xml:space="preserve">╔═══════════════════════════════════════════════════════════════════════════════╗</w:t>
      </w:r>
      <w:r>
        <w:br/>
      </w:r>
      <w:r>
        <w:t xml:space="preserve">║  NUBE PÚBLICA — Azure Chile Central (Santiago)          3 zonas disp.         ║</w:t>
      </w:r>
      <w:r>
        <w:br/>
      </w:r>
      <w:r>
        <w:t xml:space="preserve">║  ┌─────────────┐ ┌──────────────┐ ┌────────────┐ ┌──────────────────────┐    ║</w:t>
      </w:r>
      <w:r>
        <w:br/>
      </w:r>
      <w:r>
        <w:t xml:space="preserve">║  │ IoT Hub +   │ │ Event Hubs   │ │ AKS        │ │ PostgreSQL Flexible  │    ║</w:t>
      </w:r>
      <w:r>
        <w:br/>
      </w:r>
      <w:r>
        <w:t xml:space="preserve">║  │ Device      │→│ (particionado│→│ zone-      │↔│ HA zone-redundant    │    ║</w:t>
      </w:r>
      <w:r>
        <w:br/>
      </w:r>
      <w:r>
        <w:t xml:space="preserve">║  │ Update      │ │  reconexión) │ │ redundant  │ │                      │    ║</w:t>
      </w:r>
      <w:r>
        <w:br/>
      </w:r>
      <w:r>
        <w:t xml:space="preserve">║  └─────────────┘ └──────────────┘ └────────────┘ └──────────────────────┘    ║</w:t>
      </w:r>
      <w:r>
        <w:br/>
      </w:r>
      <w:r>
        <w:t xml:space="preserve">║  ┌─────────────────┐ ┌───────────────────┐ ┌──────────────────────────┐      ║</w:t>
      </w:r>
      <w:r>
        <w:br/>
      </w:r>
      <w:r>
        <w:t xml:space="preserve">║  │ Data Explorer   │ │ Blob inmutable    │ │ Key Vault HSM            │      ║</w:t>
      </w:r>
      <w:r>
        <w:br/>
      </w:r>
      <w:r>
        <w:t xml:space="preserve">║  │ series posición │ │ evidencia jornada │ │ cifrado campo RT-11.10   │      ║</w:t>
      </w:r>
      <w:r>
        <w:br/>
      </w:r>
      <w:r>
        <w:t xml:space="preserve">║  └─────────────────┘ └───────────────────┘ └──────────────────────────┘      ║</w:t>
      </w:r>
      <w:r>
        <w:br/>
      </w:r>
      <w:r>
        <w:t xml:space="preserve">╚════════════════════════════════════╤══════════════════════════════════════════╝</w:t>
      </w:r>
      <w:r>
        <w:br/>
      </w:r>
      <w:r>
        <w:t xml:space="preserve">              ┌─────────────────────┐ │ ┌──────────────────────────┐</w:t>
      </w:r>
      <w:r>
        <w:br/>
      </w:r>
      <w:r>
        <w:t xml:space="preserve">              │ 2.ª REGIÓN AZURE    │◄┘ │ RTO ≤ 4 h · RPO ≤ 15 min │</w:t>
      </w:r>
      <w:r>
        <w:br/>
      </w:r>
      <w:r>
        <w:t xml:space="preserve">              │ DR activo-pasivo    │   │ RT-07.02 amenaza distinta│</w:t>
      </w:r>
      <w:r>
        <w:br/>
      </w:r>
      <w:r>
        <w:t xml:space="preserve">              └─────────────────────┘   └──────────────────────────┘</w:t>
      </w:r>
      <w:r>
        <w:br/>
      </w:r>
      <w:r>
        <w:t xml:space="preserve">                                     │</w:t>
      </w:r>
      <w:r>
        <w:br/>
      </w:r>
      <w:r>
        <w:t xml:space="preserve">                   ExpressRoute ══════╪══════ VPN respaldo</w:t>
      </w:r>
      <w:r>
        <w:br/>
      </w:r>
      <w:r>
        <w:t xml:space="preserve">                   (proveedor A)      │       (proveedor B)   ← RT-03.17</w:t>
      </w:r>
      <w:r>
        <w:br/>
      </w:r>
      <w:r>
        <w:t xml:space="preserve">                                     │</w:t>
      </w:r>
      <w:r>
        <w:br/>
      </w:r>
      <w:r>
        <w:t xml:space="preserve">╔════════════════════════════════════▼══════════════════════════════════════════╗</w:t>
      </w:r>
      <w:r>
        <w:br/>
      </w:r>
      <w:r>
        <w:t xml:space="preserve">║  SAN BERNARDO — Sala técnica DE SITIO (26 m²)      Tipología num. 6.1         ║</w:t>
      </w:r>
      <w:r>
        <w:br/>
      </w:r>
      <w:r>
        <w:t xml:space="preserve">║  ┌──────────────────┐  ┌────────────────┐  ┌───────────────────────────────┐ ║</w:t>
      </w:r>
      <w:r>
        <w:br/>
      </w:r>
      <w:r>
        <w:t xml:space="preserve">║  │ 2× servidor 2U   │  │ 2× switch núcleo│ │ Custodia de medios RT-06.26/28│ ║</w:t>
      </w:r>
      <w:r>
        <w:br/>
      </w:r>
      <w:r>
        <w:t xml:space="preserve">║  │ clúster+testigo  │  │ 2× firewall HA  │ └───────────────────────────────┘ ║</w:t>
      </w:r>
      <w:r>
        <w:br/>
      </w:r>
      <w:r>
        <w:t xml:space="preserve">║  │ doble fuente     │  └────────────────┘                                    ║</w:t>
      </w:r>
      <w:r>
        <w:br/>
      </w:r>
      <w:r>
        <w:t xml:space="preserve">║  └──────────────────┘  UPS ≥30min · Grupo ≥24h · Clima precisión N+1         ║</w:t>
      </w:r>
      <w:r>
        <w:br/>
      </w:r>
      <w:r>
        <w:t xml:space="preserve">║  Continuidad de: asignar viaje · emitir DET · recibir pánico  ← RT-21.06      ║</w:t>
      </w:r>
      <w:r>
        <w:br/>
      </w:r>
      <w:r>
        <w:t xml:space="preserve">╚════════════════════════════════════╤══════════════════════════════════════════╝</w:t>
      </w:r>
      <w:r>
        <w:br/>
      </w:r>
      <w:r>
        <w:t xml:space="preserve">                                     │</w:t>
      </w:r>
      <w:r>
        <w:br/>
      </w:r>
      <w:r>
        <w:t xml:space="preserve">        ┌────────────────────────────┼────────────────────────────┐</w:t>
      </w:r>
      <w:r>
        <w:br/>
      </w:r>
      <w:r>
        <w:t xml:space="preserve">        │                            │                            │</w:t>
      </w:r>
      <w:r>
        <w:br/>
      </w:r>
      <w:r>
        <w:t xml:space="preserve">┌───────▼────────┐          ┌────────▼───────┐          ┌────────▼────────┐</w:t>
      </w:r>
      <w:r>
        <w:br/>
      </w:r>
      <w:r>
        <w:t xml:space="preserve">│ GABINETE       │          │ GABINETE       │   ...    │ GABINETE        │</w:t>
      </w:r>
      <w:r>
        <w:br/>
      </w:r>
      <w:r>
        <w:t xml:space="preserve">│ Antofagasta    │          │ Talca          │          │ Puerto Montt    │</w:t>
      </w:r>
      <w:r>
        <w:br/>
      </w:r>
      <w:r>
        <w:t xml:space="preserve">│ cómputo 12 h   │          │ cómputo 12 h   │          │ cómputo 12 h    │</w:t>
      </w:r>
      <w:r>
        <w:br/>
      </w:r>
      <w:r>
        <w:t xml:space="preserve">│ enlace+respaldo│          │ enlace+respaldo│          │ enlace+respaldo │</w:t>
      </w:r>
      <w:r>
        <w:br/>
      </w:r>
      <w:r>
        <w:t xml:space="preserve">└────────────────┘          └────────────────┘          └─────────────────┘</w:t>
      </w:r>
      <w:r>
        <w:br/>
      </w:r>
      <w:r>
        <w:t xml:space="preserve">        ↑ RT-06.01 del Caso: «gabinete en cada terminal dimensionado para RT-03.10»</w:t>
      </w:r>
    </w:p>
    <w:p>
      <w:pPr>
        <w:pStyle w:val="Heading3"/>
        <w:keepNext/>
        <w:spacing w:before="200" w:after="80"/>
      </w:pPr>
      <w:r>
        <w:t xml:space="preserve">Diagrama 2 — El camión: componente on-premise distribuido</w:t>
      </w:r>
    </w:p>
    <w:p>
      <w:pPr>
        <w:pStyle w:val="Codigo"/>
        <w:shd w:val="clear" w:fill="F7F9FC"/>
        <w:spacing w:before="100" w:after="100" w:line="200" w:lineRule="auto"/>
        <w:pBdr>
          <w:left w:val="single" w:sz="12" w:space="6" w:color="C8D2DE"/>
        </w:pBdr>
      </w:pPr>
      <w:r>
        <w:t xml:space="preserve">┌────────────────────────────────────────────────────────────────────────────┐</w:t>
      </w:r>
      <w:r>
        <w:br/>
      </w:r>
      <w:r>
        <w:t xml:space="preserve">│  CABINA DEL CAMIÓN            RT-06.01 Caso: on-premise distribuido ×374    │</w:t>
      </w:r>
      <w:r>
        <w:br/>
      </w:r>
      <w:r>
        <w:t xml:space="preserve">│                                                                            │</w:t>
      </w:r>
      <w:r>
        <w:br/>
      </w:r>
      <w:r>
        <w:t xml:space="preserve">│   ┌──────────────────────────────────────────────────────┐                │</w:t>
      </w:r>
      <w:r>
        <w:br/>
      </w:r>
      <w:r>
        <w:t xml:space="preserve">│   │  A. UNIDAD TELEMÁTICA                                 │                │</w:t>
      </w:r>
      <w:r>
        <w:br/>
      </w:r>
      <w:r>
        <w:t xml:space="preserve">│   │  · GNSS                                               │                │</w:t>
      </w:r>
      <w:r>
        <w:br/>
      </w:r>
      <w:r>
        <w:t xml:space="preserve">│   │  · BUFFER NO VOLÁTIL ≥8 GB   ← RT-03.10 (72 h)        │                │</w:t>
      </w:r>
      <w:r>
        <w:br/>
      </w:r>
      <w:r>
        <w:t xml:space="preserve">│   │      posición · eventos jornada · tiempos en          │                │</w:t>
      </w:r>
      <w:r>
        <w:br/>
      </w:r>
      <w:r>
        <w:t xml:space="preserve">│   │      punto de cliente · documentos del viaje          │                │</w:t>
      </w:r>
      <w:r>
        <w:br/>
      </w:r>
      <w:r>
        <w:t xml:space="preserve">│   │      (+ margen para 12 días de cierre fronterizo)     │                │</w:t>
      </w:r>
      <w:r>
        <w:br/>
      </w:r>
      <w:r>
        <w:t xml:space="preserve">│   │  · Geocercas evaluadas A BORDO ← decisión 8, RT-09.01 │                │</w:t>
      </w:r>
      <w:r>
        <w:br/>
      </w:r>
      <w:r>
        <w:t xml:space="preserve">│   │  · Alerta de jornada calculada A BORDO ← criterio 28  │                │</w:t>
      </w:r>
      <w:r>
        <w:br/>
      </w:r>
      <w:r>
        <w:t xml:space="preserve">│   │  · Modo privacidad EN FIRMWARE ← criterio 29          │                │</w:t>
      </w:r>
      <w:r>
        <w:br/>
      </w:r>
      <w:r>
        <w:t xml:space="preserve">│   │  · Gestión remota: firmware, bloqueo, borrado         │                │</w:t>
      </w:r>
      <w:r>
        <w:br/>
      </w:r>
      <w:r>
        <w:t xml:space="preserve">│   │        ← RT-03.18 vía Azure IoT Hub Device Update     │                │</w:t>
      </w:r>
      <w:r>
        <w:br/>
      </w:r>
      <w:r>
        <w:t xml:space="preserve">│   └───┬──────────┬──────────────┬───────────────┬─────────┘                │</w:t>
      </w:r>
      <w:r>
        <w:br/>
      </w:r>
      <w:r>
        <w:t xml:space="preserve">│       │          │              │               │                          │</w:t>
      </w:r>
      <w:r>
        <w:br/>
      </w:r>
      <w:r>
        <w:t xml:space="preserve">│   ┌───▼────┐ ┌───▼────────┐ ┌──▼──────────┐ ┌──▼─────────────┐            │</w:t>
      </w:r>
      <w:r>
        <w:br/>
      </w:r>
      <w:r>
        <w:t xml:space="preserve">│   │ CELULAR│ │ B. MÓDULO  │ │ C. ID DEL   │ │ CAN / FMS      │            │</w:t>
      </w:r>
      <w:r>
        <w:br/>
      </w:r>
      <w:r>
        <w:t xml:space="preserve">│   │ 4G     │ │ SATELITAL  │ │ CONDUCTOR   │ │ · tacógrafo    │            │</w:t>
      </w:r>
      <w:r>
        <w:br/>
      </w:r>
      <w:r>
        <w:t xml:space="preserve">│   │ PRIMARIO│ │ SBD        │ │ NFC pasivo  │ │   descarga     │            │</w:t>
      </w:r>
      <w:r>
        <w:br/>
      </w:r>
      <w:r>
        <w:t xml:space="preserve">│   │        │ │ solo        │ │ SIN acción  │ │   remota DDD   │            │</w:t>
      </w:r>
      <w:r>
        <w:br/>
      </w:r>
      <w:r>
        <w:t xml:space="preserve">│   │ tasa   │ │ subconjunto │ │ del conduc- │ │ · telemetría   │            │</w:t>
      </w:r>
      <w:r>
        <w:br/>
      </w:r>
      <w:r>
        <w:t xml:space="preserve">│   │ completa│ │ por riesgo │ │ tor         │ │   motor        │            │</w:t>
      </w:r>
      <w:r>
        <w:br/>
      </w:r>
      <w:r>
        <w:t xml:space="preserve">│   └────────┘ └────────────┘ └─────────────┘ └────────────────┘            │</w:t>
      </w:r>
      <w:r>
        <w:br/>
      </w:r>
      <w:r>
        <w:t xml:space="preserve">│                                  ↑ RT-12.11: sin manipular, sin recordar   │</w:t>
      </w:r>
      <w:r>
        <w:br/>
      </w:r>
      <w:r>
        <w:t xml:space="preserve">│                                              credencial                    │</w:t>
      </w:r>
      <w:r>
        <w:br/>
      </w:r>
      <w:r>
        <w:t xml:space="preserve">│   ✗ NINGUNA interacción del conductor en marcha   ← restricción 1          │</w:t>
      </w:r>
      <w:r>
        <w:br/>
      </w:r>
      <w:r>
        <w:t xml:space="preserve">│   ✗ Solo se instala/actualiza en TERMINAL         ← restricción 5          │</w:t>
      </w:r>
      <w:r>
        <w:br/>
      </w:r>
      <w:r>
        <w:t xml:space="preserve">│   ✗ No puede afectar la garantía del vehículo     ← restricción 6          │</w:t>
      </w:r>
      <w:r>
        <w:br/>
      </w:r>
      <w:r>
        <w:t xml:space="preserve">└────────────────────────────────────────────────────────────────────────────┘</w:t>
      </w:r>
      <w:r>
        <w:br/>
      </w:r>
      <w:r>
        <w:br/>
      </w:r>
      <w:r>
        <w:t xml:space="preserve">  61 tractocamiones adicionales: telemetría de fábrica por rFMS v5.0.0 [F]</w:t>
      </w:r>
      <w:r>
        <w:br/>
      </w:r>
      <w:r>
        <w:t xml:space="preserve">  ── solo lectura, sin instalar hardware, sin pasar por terminal ──</w:t>
      </w:r>
      <w:r>
        <w:br/>
      </w:r>
      <w:r>
        <w:t xml:space="preserve">     API REST/HTTPS del OEM ─────────────────────────► Azure (integración)</w:t>
      </w:r>
      <w:r>
        <w:br/>
      </w:r>
      <w:r>
        <w:t xml:space="preserve">     RT-17.06 · decisión 12 · Cap. 11: no se interviene la electrónica</w:t>
      </w:r>
    </w:p>
    <w:p>
      <w:pPr>
        <w:pStyle w:val="Heading3"/>
        <w:keepNext/>
        <w:spacing w:before="200" w:after="80"/>
      </w:pPr>
      <w:r>
        <w:t xml:space="preserve">Diagrama 3 — Flujo de un evento de jornada sin cobertura</w:t>
      </w:r>
    </w:p>
    <w:p>
      <w:pPr>
        <w:pStyle w:val="Codigo"/>
        <w:shd w:val="clear" w:fill="F7F9FC"/>
        <w:spacing w:before="100" w:after="100" w:line="200" w:lineRule="auto"/>
        <w:pBdr>
          <w:left w:val="single" w:sz="12" w:space="6" w:color="C8D2DE"/>
        </w:pBdr>
      </w:pPr>
      <w:r>
        <w:t xml:space="preserve">  t0   Camión en ruta, zona de sombra (&gt;80 km sin señal)</w:t>
      </w:r>
      <w:r>
        <w:br/>
      </w:r>
      <w:r>
        <w:t xml:space="preserve">        │</w:t>
      </w:r>
      <w:r>
        <w:br/>
      </w:r>
      <w:r>
        <w:t xml:space="preserve">        ├─► Evento de jornada ocurre  ──► SE ESCRIBE EN BUFFER LOCAL</w:t>
      </w:r>
      <w:r>
        <w:br/>
      </w:r>
      <w:r>
        <w:t xml:space="preserve">        │                                  (el registro YA existe, aunque</w:t>
      </w:r>
      <w:r>
        <w:br/>
      </w:r>
      <w:r>
        <w:t xml:space="preserve">        │                                   caiga la nube entera)</w:t>
      </w:r>
      <w:r>
        <w:br/>
      </w:r>
      <w:r>
        <w:t xml:space="preserve">        │</w:t>
      </w:r>
      <w:r>
        <w:br/>
      </w:r>
      <w:r>
        <w:t xml:space="preserve">        ├─► ¿Es crítico? (pánico / geocerca / frontera)</w:t>
      </w:r>
      <w:r>
        <w:br/>
      </w:r>
      <w:r>
        <w:t xml:space="preserve">        │        │</w:t>
      </w:r>
      <w:r>
        <w:br/>
      </w:r>
      <w:r>
        <w:t xml:space="preserve">        │        └─ Sí ──► SBD ──► Iridium ──► nube   [solo capa 2]</w:t>
      </w:r>
      <w:r>
        <w:br/>
      </w:r>
      <w:r>
        <w:t xml:space="preserve">        │                          latencia declarada ≠ 15 s</w:t>
      </w:r>
      <w:r>
        <w:br/>
      </w:r>
      <w:r>
        <w:t xml:space="preserve">        │</w:t>
      </w:r>
      <w:r>
        <w:br/>
      </w:r>
      <w:r>
        <w:t xml:space="preserve">   t+Xh  Recupera cobertura celular</w:t>
      </w:r>
      <w:r>
        <w:br/>
      </w:r>
      <w:r>
        <w:t xml:space="preserve">        │</w:t>
      </w:r>
      <w:r>
        <w:br/>
      </w:r>
      <w:r>
        <w:t xml:space="preserve">        ├─► Sincronización diferida con backoff aleatorizado</w:t>
      </w:r>
      <w:r>
        <w:br/>
      </w:r>
      <w:r>
        <w:t xml:space="preserve">        │   (evita la avalancha de cientos de unidades saliendo</w:t>
      </w:r>
      <w:r>
        <w:br/>
      </w:r>
      <w:r>
        <w:t xml:space="preserve">        │    de la misma sombra ← Cap. 14.2)</w:t>
      </w:r>
      <w:r>
        <w:br/>
      </w:r>
      <w:r>
        <w:t xml:space="preserve">        │</w:t>
      </w:r>
      <w:r>
        <w:br/>
      </w:r>
      <w:r>
        <w:t xml:space="preserve">        └─► Reconciliación determinista de conflictos</w:t>
      </w:r>
      <w:r>
        <w:br/>
      </w:r>
      <w:r>
        <w:t xml:space="preserve">            con bitácora auditable        ← RT-03.12</w:t>
      </w:r>
      <w:r>
        <w:br/>
      </w:r>
      <w:r>
        <w:t xml:space="preserve">            Objetivo: ≤20 min por camión  ← Cap. 15 del Caso, pág. 31/49</w:t>
      </w:r>
    </w:p>
    <w:p>
      <w:pPr>
        <w:pBdr>
          <w:bottom w:val="single" w:sz="6" w:space="1" w:color="C8D2DE"/>
        </w:pBdr>
        <w:spacing w:before="160" w:after="160"/>
      </w:pPr>
    </w:p>
    <w:p>
      <w:pPr>
        <w:pStyle w:val="Heading1"/>
        <w:keepNext/>
        <w:spacing w:before="320" w:after="120"/>
      </w:pPr>
      <w:r>
        <w:t xml:space="preserve">6. «Innovaciones» — ficha T-19 de D4: tipo 2, Proceso</w:t>
      </w:r>
    </w:p>
    <w:p>
      <w:pPr>
        <w:spacing w:before="0" w:after="140" w:line="264" w:lineRule="auto"/>
      </w:pPr>
      <w:r>
        <w:rPr>
          <w:b/>
        </w:rPr>
        <w:t xml:space="preserve">Terreno asignado</w:t>
      </w:r>
      <w:r>
        <w:t xml:space="preserve"> (plan, pág. 6/9): «Despliegue camión por camión con ventana de 6 días; actualización remota del parque; incorporación de la intervención del taller externo a la hoja de vida del equipo».</w:t>
      </w:r>
    </w:p>
    <w:p>
      <w:pPr>
        <w:spacing w:before="0" w:after="140" w:line="264" w:lineRule="auto"/>
      </w:pPr>
      <w:r>
        <w:rPr>
          <w:b/>
        </w:rPr>
        <w:t xml:space="preserve">Restricción de admisibilidad:</w:t>
      </w:r>
      <w:r>
        <w:t xml:space="preserve"> no se acepta como innovación la adopción de una tecnología ya estándar, la mención de una tendencia sin diseño de incorporación, ni una funcionalidad que las bases ya exigen. Y el T-22 advierte que «en ningún caso puede presentarse sólo el título».</w:t>
      </w:r>
    </w:p>
    <w:p>
      <w:pPr>
        <w:spacing w:before="0" w:after="140" w:line="264" w:lineRule="auto"/>
      </w:pPr>
      <w:r>
        <w:rPr>
          <w:b/>
        </w:rPr>
        <w:t xml:space="preserve">Idea propuesta — «Despliegue sin detener la flota»:</w:t>
      </w:r>
    </w:p>
    <w:p>
      <w:pPr>
        <w:spacing w:before="0" w:after="140" w:line="264" w:lineRule="auto"/>
      </w:pPr>
      <w:r>
        <w:t xml:space="preserve">El problema real no es técnico: </w:t>
      </w:r>
      <w:r>
        <w:rPr>
          <w:b/>
        </w:rPr>
        <w:t xml:space="preserve">un camión detenido no produce</w:t>
      </w:r>
      <w:r>
        <w:t xml:space="preserve"> (restricción 10), un camión pasa por terminal cada 6 días y el 22 % de la flota subcontratada pasa menos de una vez al mes (Cap. 6, pág. 14/49), y la flota rueda 24×7×365 sin ventana de detención, con congelamientos de diciembre a abril, Semana Santa, Fiestas Patrias y los nueve días del cierre mensual de liquidaciones (RT-10.05, pág. 32/49).</w:t>
      </w:r>
    </w:p>
    <w:p>
      <w:pPr>
        <w:spacing w:before="0" w:after="140" w:line="264" w:lineRule="auto"/>
      </w:pPr>
      <w:r>
        <w:t xml:space="preserve">Lo que se innova: convertir el paso fortuito por terminal en una </w:t>
      </w:r>
      <w:r>
        <w:rPr>
          <w:b/>
        </w:rPr>
        <w:t xml:space="preserve">ventana de intervención planificada y de duración acotada</w:t>
      </w:r>
      <w:r>
        <w:t xml:space="preserve">, mediante preconfiguración total del dispositivo antes de que el camión llegue —el numeral 8.4 exige stock de reemplazo en sitio «con configuración precargada»—, de modo que la intervención física sea </w:t>
      </w:r>
      <w:r>
        <w:rPr>
          <w:i/>
        </w:rPr>
        <w:t xml:space="preserve">sustituir y salir</w:t>
      </w:r>
      <w:r>
        <w:t xml:space="preserve">, y todo el resto del ciclo de vida ocurra por aire.</w:t>
      </w:r>
    </w:p>
    <w:p>
      <w:pPr>
        <w:spacing w:before="0" w:after="140" w:line="264" w:lineRule="auto"/>
      </w:pPr>
      <w:r>
        <w:rPr>
          <w:b/>
        </w:rPr>
        <w:t xml:space="preserve">Los siete elementos del Art. 29° a completar en el T-19</w:t>
      </w:r>
      <w:r>
        <w:t xml:space="preserve"> (esqueleto, falta redactar):</w:t>
      </w:r>
    </w:p>
    <w:p>
      <w:pPr>
        <w:ind w:left="340"/>
        <w:spacing w:before="20" w:after="60"/>
      </w:pPr>
      <w:r>
        <w:t xml:space="preserve">1.  </w:t>
      </w:r>
      <w:r>
        <w:rPr>
          <w:b/>
        </w:rPr>
        <w:t xml:space="preserve">Idea</w:t>
      </w:r>
      <w:r>
        <w:t xml:space="preserve"> — el despliegue deja de ser un proyecto con fecha de término y pasa a ser un proceso</w:t>
      </w:r>
    </w:p>
    <w:p>
      <w:pPr>
        <w:spacing w:before="0" w:after="140" w:line="264" w:lineRule="auto"/>
      </w:pPr>
      <w:r>
        <w:t xml:space="preserve">continuo que se ejecuta en la ventana que la operación ya tiene.</w:t>
      </w:r>
    </w:p>
    <w:p>
      <w:pPr>
        <w:ind w:left="340"/>
        <w:spacing w:before="20" w:after="60"/>
      </w:pPr>
      <w:r>
        <w:t xml:space="preserve">2.  </w:t>
      </w:r>
      <w:r>
        <w:rPr>
          <w:b/>
        </w:rPr>
        <w:t xml:space="preserve">Tecnología</w:t>
      </w:r>
      <w:r>
        <w:t xml:space="preserve"> — gestión remota del parque por Azure IoT Hub Device Update; configuración</w:t>
      </w:r>
    </w:p>
    <w:p>
      <w:pPr>
        <w:spacing w:before="0" w:after="140" w:line="264" w:lineRule="auto"/>
      </w:pPr>
      <w:r>
        <w:t xml:space="preserve">precargada; anticipación de llegada a terminal a partir de la propia posición de la flota.</w:t>
      </w:r>
    </w:p>
    <w:p>
      <w:pPr>
        <w:ind w:left="340"/>
        <w:spacing w:before="20" w:after="60"/>
      </w:pPr>
      <w:r>
        <w:t xml:space="preserve">3.  </w:t>
      </w:r>
      <w:r>
        <w:rPr>
          <w:b/>
        </w:rPr>
        <w:t xml:space="preserve">Alcance</w:t>
      </w:r>
      <w:r>
        <w:t xml:space="preserve"> — 148 propios por decisión; 34 sin dispositivo por adhesión; ~192 de terceros solo</w:t>
      </w:r>
    </w:p>
    <w:p>
      <w:pPr>
        <w:spacing w:before="0" w:after="140" w:line="264" w:lineRule="auto"/>
      </w:pPr>
      <w:r>
        <w:t xml:space="preserve">si su dueño adhiere.</w:t>
      </w:r>
    </w:p>
    <w:p>
      <w:pPr>
        <w:ind w:left="340"/>
        <w:spacing w:before="20" w:after="60"/>
      </w:pPr>
      <w:r>
        <w:t xml:space="preserve">4.  </w:t>
      </w:r>
      <w:r>
        <w:rPr>
          <w:b/>
        </w:rPr>
        <w:t xml:space="preserve">Forma de implementación</w:t>
      </w:r>
      <w:r>
        <w:t xml:space="preserve"> — kit preconfigurado, arnés estándar por familia de vehículo,</w:t>
      </w:r>
    </w:p>
    <w:p>
      <w:pPr>
        <w:spacing w:before="0" w:after="140" w:line="264" w:lineRule="auto"/>
      </w:pPr>
      <w:r>
        <w:t xml:space="preserve">procedimiento de 30 min, verificación automática post-instalación.</w:t>
      </w:r>
    </w:p>
    <w:p>
      <w:pPr>
        <w:ind w:left="340"/>
        <w:spacing w:before="20" w:after="60"/>
      </w:pPr>
      <w:r>
        <w:t xml:space="preserve">5.  </w:t>
      </w:r>
      <w:r>
        <w:rPr>
          <w:b/>
        </w:rPr>
        <w:t xml:space="preserve">Resultados esperados</w:t>
      </w:r>
      <w:r>
        <w:t xml:space="preserve"> — </w:t>
      </w:r>
      <w:r>
        <w:rPr>
          <w:b/>
        </w:rPr>
        <w:t xml:space="preserve">indicador obligatorio</w:t>
      </w:r>
      <w:r>
        <w:t xml:space="preserve">: unidades intervenidas por mes y tiempo de</w:t>
      </w:r>
    </w:p>
    <w:p>
      <w:pPr>
        <w:spacing w:before="0" w:after="140" w:line="264" w:lineRule="auto"/>
      </w:pPr>
      <w:r>
        <w:t xml:space="preserve">inmovilización por unidad. El criterio 27 exige resultados medibles: cuántos de los 148 transportistas adhirieron y en qué plazo.</w:t>
      </w:r>
    </w:p>
    <w:p>
      <w:pPr>
        <w:ind w:left="340"/>
        <w:spacing w:before="20" w:after="60"/>
      </w:pPr>
      <w:r>
        <w:t xml:space="preserve">6.  </w:t>
      </w:r>
      <w:r>
        <w:rPr>
          <w:b/>
        </w:rPr>
        <w:t xml:space="preserve">Riesgos</w:t>
      </w:r>
      <w:r>
        <w:t xml:space="preserve"> — el 22 % que pasa menos de una vez al mes marca el techo del ritmo de despliegue.</w:t>
      </w:r>
    </w:p>
    <w:p>
      <w:pPr>
        <w:ind w:left="340"/>
        <w:spacing w:before="20" w:after="60"/>
      </w:pPr>
      <w:r>
        <w:t xml:space="preserve">7.  </w:t>
      </w:r>
      <w:r>
        <w:rPr>
          <w:b/>
        </w:rPr>
        <w:t xml:space="preserve">Encaje con el caso</w:t>
      </w:r>
      <w:r>
        <w:t xml:space="preserve"> — resuelve simultáneamente la restricción 5 y la restricción 10.</w:t>
      </w:r>
    </w:p>
    <w:p>
      <w:pPr>
        <w:shd w:val="clear" w:fill="F4F7FB"/>
        <w:pBdr>
          <w:left w:val="single" w:sz="18" w:space="8" w:color="9CC3F5"/>
        </w:pBdr>
        <w:ind w:left="200"/>
        <w:spacing w:before="100" w:after="140"/>
      </w:pPr>
      <w:r>
        <w:rPr>
          <w:b/>
          <w:sz w:val="21"/>
          <w:szCs w:val="21"/>
        </w:rPr>
        <w:t xml:space="preserve">Sincronización pendiente:</w:t>
      </w:r>
      <w:r>
        <w:rPr>
          <w:sz w:val="21"/>
          <w:szCs w:val="21"/>
        </w:rPr>
        <w:t xml:space="preserve"> la adhesión de los 148 transportistas es de D2 (innovación tipo 4). Nuestra ficha es el </w:t>
      </w:r>
      <w:r>
        <w:rPr>
          <w:b/>
          <w:sz w:val="21"/>
          <w:szCs w:val="21"/>
        </w:rPr>
        <w:t xml:space="preserve">cómo físico</w:t>
      </w:r>
      <w:r>
        <w:rPr>
          <w:sz w:val="21"/>
          <w:szCs w:val="21"/>
        </w:rPr>
        <w:t xml:space="preserve">; la de ellos es el </w:t>
      </w:r>
      <w:r>
        <w:rPr>
          <w:b/>
          <w:sz w:val="21"/>
          <w:szCs w:val="21"/>
        </w:rPr>
        <w:t xml:space="preserve">por qué comercial</w:t>
      </w:r>
      <w:r>
        <w:rPr>
          <w:sz w:val="21"/>
          <w:szCs w:val="21"/>
        </w:rPr>
        <w:t xml:space="preserve">. Deben citarse mutuamente o se leerán como dos propuestas desconectadas.</w:t>
      </w:r>
    </w:p>
    <w:p>
      <w:pPr>
        <w:pBdr>
          <w:bottom w:val="single" w:sz="6" w:space="1" w:color="C8D2DE"/>
        </w:pBdr>
        <w:spacing w:before="160" w:after="160"/>
      </w:pPr>
    </w:p>
    <w:p>
      <w:pPr>
        <w:pStyle w:val="Heading1"/>
        <w:keepNext/>
        <w:spacing w:before="320" w:after="120"/>
      </w:pPr>
      <w:r>
        <w:t xml:space="preserve">7. Supuestos que D4 declara</w:t>
      </w:r>
    </w:p>
    <w:p>
      <w:pPr>
        <w:spacing w:before="0" w:after="140" w:line="264" w:lineRule="auto"/>
      </w:pPr>
      <w:r>
        <w:t xml:space="preserve">El Cap. 14.2 (pág. 30/49) advierte: «valores sin derivación, se evaluará como dimensionamiento no realizado». Todo supuesto va con su derivación.</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1870"/>
        <w:gridCol w:w="1870"/>
        <w:gridCol w:w="1870"/>
        <w:gridCol w:w="1870"/>
        <w:gridCol w:w="1870"/>
      </w:tblGrid>
      <w:tr>
        <w:trPr>
          <w:tblHeader/>
          <w:cantSplit/>
        </w:trPr>
        <w:tc>
          <w:tcPr>
            <w:tcW w:w="1870" w:type="dxa"/>
            <w:shd w:val="clear" w:fill="EDF2F8"/>
            <w:vAlign w:val="top"/>
          </w:tcPr>
          <w:p>
            <w:pPr>
              <w:spacing w:before="40" w:after="40"/>
              <w:rPr>
                <w:sz w:val="18"/>
              </w:rPr>
            </w:pPr>
            <w:r>
              <w:rPr>
                <w:b/>
                <w:sz w:val="18"/>
                <w:szCs w:val="18"/>
              </w:rPr>
              <w:t xml:space="preserve">#</w:t>
            </w:r>
          </w:p>
        </w:tc>
        <w:tc>
          <w:tcPr>
            <w:tcW w:w="1870" w:type="dxa"/>
            <w:shd w:val="clear" w:fill="EDF2F8"/>
            <w:vAlign w:val="top"/>
          </w:tcPr>
          <w:p>
            <w:pPr>
              <w:spacing w:before="40" w:after="40"/>
              <w:rPr>
                <w:sz w:val="18"/>
              </w:rPr>
            </w:pPr>
            <w:r>
              <w:rPr>
                <w:b/>
                <w:sz w:val="18"/>
                <w:szCs w:val="18"/>
              </w:rPr>
              <w:t xml:space="preserve">Supuesto</w:t>
            </w:r>
          </w:p>
        </w:tc>
        <w:tc>
          <w:tcPr>
            <w:tcW w:w="1870" w:type="dxa"/>
            <w:shd w:val="clear" w:fill="EDF2F8"/>
            <w:vAlign w:val="top"/>
          </w:tcPr>
          <w:p>
            <w:pPr>
              <w:spacing w:before="40" w:after="40"/>
              <w:rPr>
                <w:sz w:val="18"/>
              </w:rPr>
            </w:pPr>
            <w:r>
              <w:rPr>
                <w:b/>
                <w:sz w:val="18"/>
                <w:szCs w:val="18"/>
              </w:rPr>
              <w:t xml:space="preserve">Valor</w:t>
            </w:r>
          </w:p>
        </w:tc>
        <w:tc>
          <w:tcPr>
            <w:tcW w:w="1870" w:type="dxa"/>
            <w:shd w:val="clear" w:fill="EDF2F8"/>
            <w:vAlign w:val="top"/>
          </w:tcPr>
          <w:p>
            <w:pPr>
              <w:spacing w:before="40" w:after="40"/>
              <w:rPr>
                <w:sz w:val="18"/>
              </w:rPr>
            </w:pPr>
            <w:r>
              <w:rPr>
                <w:b/>
                <w:sz w:val="18"/>
                <w:szCs w:val="18"/>
              </w:rPr>
              <w:t xml:space="preserve">Derivación</w:t>
            </w:r>
          </w:p>
        </w:tc>
        <w:tc>
          <w:tcPr>
            <w:tcW w:w="1870" w:type="dxa"/>
            <w:shd w:val="clear" w:fill="EDF2F8"/>
            <w:vAlign w:val="top"/>
          </w:tcPr>
          <w:p>
            <w:pPr>
              <w:spacing w:before="40" w:after="40"/>
              <w:rPr>
                <w:sz w:val="18"/>
              </w:rPr>
            </w:pPr>
            <w:r>
              <w:rPr>
                <w:b/>
                <w:sz w:val="18"/>
                <w:szCs w:val="18"/>
              </w:rPr>
              <w:t xml:space="preserve">Cómo se cierra</w:t>
            </w:r>
          </w:p>
        </w:tc>
      </w:tr>
      <w:tr>
        <w:trPr>
          <w:cantSplit/>
        </w:trPr>
        <w:tc>
          <w:tcPr>
            <w:tcW w:w="1870" w:type="dxa"/>
            <w:vAlign w:val="top"/>
          </w:tcPr>
          <w:p>
            <w:pPr>
              <w:spacing w:before="40" w:after="40"/>
              <w:rPr>
                <w:sz w:val="18"/>
              </w:rPr>
            </w:pPr>
            <w:r>
              <w:rPr>
                <w:sz w:val="18"/>
                <w:szCs w:val="18"/>
              </w:rPr>
              <w:t xml:space="preserve">S-01</w:t>
            </w:r>
          </w:p>
        </w:tc>
        <w:tc>
          <w:tcPr>
            <w:tcW w:w="1870" w:type="dxa"/>
            <w:vAlign w:val="top"/>
          </w:tcPr>
          <w:p>
            <w:pPr>
              <w:spacing w:before="40" w:after="40"/>
              <w:rPr>
                <w:sz w:val="18"/>
              </w:rPr>
            </w:pPr>
            <w:r>
              <w:rPr>
                <w:sz w:val="18"/>
                <w:szCs w:val="18"/>
              </w:rPr>
              <w:t xml:space="preserve">Velocidad comercial media</w:t>
            </w:r>
          </w:p>
        </w:tc>
        <w:tc>
          <w:tcPr>
            <w:tcW w:w="1870" w:type="dxa"/>
            <w:vAlign w:val="top"/>
          </w:tcPr>
          <w:p>
            <w:pPr>
              <w:spacing w:before="40" w:after="40"/>
              <w:rPr>
                <w:sz w:val="18"/>
              </w:rPr>
            </w:pPr>
            <w:r>
              <w:rPr>
                <w:sz w:val="18"/>
                <w:szCs w:val="18"/>
              </w:rPr>
              <w:t xml:space="preserve">55 km/h</w:t>
            </w:r>
          </w:p>
        </w:tc>
        <w:tc>
          <w:tcPr>
            <w:tcW w:w="1870" w:type="dxa"/>
            <w:vAlign w:val="top"/>
          </w:tcPr>
          <w:p>
            <w:pPr>
              <w:spacing w:before="40" w:after="40"/>
              <w:rPr>
                <w:sz w:val="18"/>
              </w:rPr>
            </w:pPr>
            <w:r>
              <w:rPr>
                <w:sz w:val="18"/>
                <w:szCs w:val="18"/>
              </w:rPr>
              <w:t xml:space="preserve">Supuesto D4 sobre 41.000.000 km/año y perfil de ruta interurbana</w:t>
            </w:r>
          </w:p>
        </w:tc>
        <w:tc>
          <w:tcPr>
            <w:tcW w:w="1870" w:type="dxa"/>
            <w:vAlign w:val="top"/>
          </w:tcPr>
          <w:p>
            <w:pPr>
              <w:spacing w:before="40" w:after="40"/>
              <w:rPr>
                <w:sz w:val="18"/>
              </w:rPr>
            </w:pPr>
            <w:r>
              <w:rPr>
                <w:sz w:val="18"/>
                <w:szCs w:val="18"/>
              </w:rPr>
              <w:t xml:space="preserve">Medición en Etapa 1</w:t>
            </w:r>
          </w:p>
        </w:tc>
      </w:tr>
      <w:tr>
        <w:trPr>
          <w:cantSplit/>
        </w:trPr>
        <w:tc>
          <w:tcPr>
            <w:tcW w:w="1870" w:type="dxa"/>
            <w:vAlign w:val="top"/>
          </w:tcPr>
          <w:p>
            <w:pPr>
              <w:spacing w:before="40" w:after="40"/>
              <w:rPr>
                <w:sz w:val="18"/>
              </w:rPr>
            </w:pPr>
            <w:r>
              <w:rPr>
                <w:sz w:val="18"/>
                <w:szCs w:val="18"/>
              </w:rPr>
              <w:t xml:space="preserve">S-02</w:t>
            </w:r>
          </w:p>
        </w:tc>
        <w:tc>
          <w:tcPr>
            <w:tcW w:w="1870" w:type="dxa"/>
            <w:vAlign w:val="top"/>
          </w:tcPr>
          <w:p>
            <w:pPr>
              <w:spacing w:before="40" w:after="40"/>
              <w:rPr>
                <w:sz w:val="18"/>
              </w:rPr>
            </w:pPr>
            <w:r>
              <w:rPr>
                <w:sz w:val="18"/>
                <w:szCs w:val="18"/>
              </w:rPr>
              <w:t xml:space="preserve">Horas de marcha en 72 h calendario</w:t>
            </w:r>
          </w:p>
        </w:tc>
        <w:tc>
          <w:tcPr>
            <w:tcW w:w="1870" w:type="dxa"/>
            <w:vAlign w:val="top"/>
          </w:tcPr>
          <w:p>
            <w:pPr>
              <w:spacing w:before="40" w:after="40"/>
              <w:rPr>
                <w:sz w:val="18"/>
              </w:rPr>
            </w:pPr>
            <w:r>
              <w:rPr>
                <w:sz w:val="18"/>
                <w:szCs w:val="18"/>
              </w:rPr>
              <w:t xml:space="preserve">≈ 30 h</w:t>
            </w:r>
          </w:p>
        </w:tc>
        <w:tc>
          <w:tcPr>
            <w:tcW w:w="1870" w:type="dxa"/>
            <w:vAlign w:val="top"/>
          </w:tcPr>
          <w:p>
            <w:pPr>
              <w:spacing w:before="40" w:after="40"/>
              <w:rPr>
                <w:sz w:val="18"/>
              </w:rPr>
            </w:pPr>
            <w:r>
              <w:rPr>
                <w:sz w:val="18"/>
                <w:szCs w:val="18"/>
              </w:rPr>
              <w:t xml:space="preserve">Art. 25 bis: descansos obligatorios</w:t>
            </w:r>
          </w:p>
        </w:tc>
        <w:tc>
          <w:tcPr>
            <w:tcW w:w="1870" w:type="dxa"/>
            <w:vAlign w:val="top"/>
          </w:tcPr>
          <w:p>
            <w:pPr>
              <w:spacing w:before="40" w:after="40"/>
              <w:rPr>
                <w:sz w:val="18"/>
              </w:rPr>
            </w:pPr>
            <w:r>
              <w:rPr>
                <w:sz w:val="18"/>
                <w:szCs w:val="18"/>
              </w:rPr>
              <w:t xml:space="preserve">—</w:t>
            </w:r>
          </w:p>
        </w:tc>
      </w:tr>
      <w:tr>
        <w:trPr>
          <w:cantSplit/>
        </w:trPr>
        <w:tc>
          <w:tcPr>
            <w:tcW w:w="1870" w:type="dxa"/>
            <w:vAlign w:val="top"/>
          </w:tcPr>
          <w:p>
            <w:pPr>
              <w:spacing w:before="40" w:after="40"/>
              <w:rPr>
                <w:sz w:val="18"/>
              </w:rPr>
            </w:pPr>
            <w:r>
              <w:rPr>
                <w:sz w:val="18"/>
                <w:szCs w:val="18"/>
              </w:rPr>
              <w:t xml:space="preserve">S-03</w:t>
            </w:r>
          </w:p>
        </w:tc>
        <w:tc>
          <w:tcPr>
            <w:tcW w:w="1870" w:type="dxa"/>
            <w:vAlign w:val="top"/>
          </w:tcPr>
          <w:p>
            <w:pPr>
              <w:spacing w:before="40" w:after="40"/>
              <w:rPr>
                <w:sz w:val="18"/>
              </w:rPr>
            </w:pPr>
            <w:r>
              <w:rPr>
                <w:sz w:val="18"/>
                <w:szCs w:val="18"/>
              </w:rPr>
              <w:t xml:space="preserve">Tamaño de registro de posición</w:t>
            </w:r>
          </w:p>
        </w:tc>
        <w:tc>
          <w:tcPr>
            <w:tcW w:w="1870" w:type="dxa"/>
            <w:vAlign w:val="top"/>
          </w:tcPr>
          <w:p>
            <w:pPr>
              <w:spacing w:before="40" w:after="40"/>
              <w:rPr>
                <w:sz w:val="18"/>
              </w:rPr>
            </w:pPr>
            <w:r>
              <w:rPr>
                <w:sz w:val="18"/>
                <w:szCs w:val="18"/>
              </w:rPr>
              <w:t xml:space="preserve">64 B</w:t>
            </w:r>
          </w:p>
        </w:tc>
        <w:tc>
          <w:tcPr>
            <w:tcW w:w="1870" w:type="dxa"/>
            <w:vAlign w:val="top"/>
          </w:tcPr>
          <w:p>
            <w:pPr>
              <w:spacing w:before="40" w:after="40"/>
              <w:rPr>
                <w:sz w:val="18"/>
              </w:rPr>
            </w:pPr>
            <w:r>
              <w:rPr>
                <w:sz w:val="18"/>
                <w:szCs w:val="18"/>
              </w:rPr>
              <w:t xml:space="preserve">Composición del registro declarada en §5.3.2</w:t>
            </w:r>
          </w:p>
        </w:tc>
        <w:tc>
          <w:tcPr>
            <w:tcW w:w="1870" w:type="dxa"/>
            <w:vAlign w:val="top"/>
          </w:tcPr>
          <w:p>
            <w:pPr>
              <w:spacing w:before="40" w:after="40"/>
              <w:rPr>
                <w:sz w:val="18"/>
              </w:rPr>
            </w:pPr>
            <w:r>
              <w:rPr>
                <w:sz w:val="18"/>
                <w:szCs w:val="18"/>
              </w:rPr>
              <w:t xml:space="preserve">Ajuste con el fabricante elegido</w:t>
            </w:r>
          </w:p>
        </w:tc>
      </w:tr>
      <w:tr>
        <w:trPr>
          <w:cantSplit/>
        </w:trPr>
        <w:tc>
          <w:tcPr>
            <w:tcW w:w="1870" w:type="dxa"/>
            <w:vAlign w:val="top"/>
          </w:tcPr>
          <w:p>
            <w:pPr>
              <w:spacing w:before="40" w:after="40"/>
              <w:rPr>
                <w:sz w:val="18"/>
              </w:rPr>
            </w:pPr>
            <w:r>
              <w:rPr>
                <w:sz w:val="18"/>
                <w:szCs w:val="18"/>
              </w:rPr>
              <w:t xml:space="preserve">S-04</w:t>
            </w:r>
          </w:p>
        </w:tc>
        <w:tc>
          <w:tcPr>
            <w:tcW w:w="1870" w:type="dxa"/>
            <w:vAlign w:val="top"/>
          </w:tcPr>
          <w:p>
            <w:pPr>
              <w:spacing w:before="40" w:after="40"/>
              <w:rPr>
                <w:sz w:val="18"/>
              </w:rPr>
            </w:pPr>
            <w:r>
              <w:rPr>
                <w:sz w:val="18"/>
                <w:szCs w:val="18"/>
              </w:rPr>
              <w:t xml:space="preserve">Volumen en buffer tras 72 h</w:t>
            </w:r>
          </w:p>
        </w:tc>
        <w:tc>
          <w:tcPr>
            <w:tcW w:w="1870" w:type="dxa"/>
            <w:vAlign w:val="top"/>
          </w:tcPr>
          <w:p>
            <w:pPr>
              <w:spacing w:before="40" w:after="40"/>
              <w:rPr>
                <w:sz w:val="18"/>
              </w:rPr>
            </w:pPr>
            <w:r>
              <w:rPr>
                <w:sz w:val="18"/>
                <w:szCs w:val="18"/>
              </w:rPr>
              <w:t xml:space="preserve">≈ 0,8 MB sin imágenes; ≈ 3,2 MB con imágenes</w:t>
            </w:r>
          </w:p>
        </w:tc>
        <w:tc>
          <w:tcPr>
            <w:tcW w:w="1870" w:type="dxa"/>
            <w:vAlign w:val="top"/>
          </w:tcPr>
          <w:p>
            <w:pPr>
              <w:spacing w:before="40" w:after="40"/>
              <w:rPr>
                <w:sz w:val="18"/>
              </w:rPr>
            </w:pPr>
            <w:r>
              <w:rPr>
                <w:sz w:val="18"/>
                <w:szCs w:val="18"/>
              </w:rPr>
              <w:t xml:space="preserve">§5.3.2</w:t>
            </w:r>
          </w:p>
        </w:tc>
        <w:tc>
          <w:tcPr>
            <w:tcW w:w="1870" w:type="dxa"/>
            <w:vAlign w:val="top"/>
          </w:tcPr>
          <w:p>
            <w:pPr>
              <w:spacing w:before="40" w:after="40"/>
              <w:rPr>
                <w:sz w:val="18"/>
              </w:rPr>
            </w:pPr>
            <w:r>
              <w:rPr>
                <w:sz w:val="18"/>
                <w:szCs w:val="18"/>
              </w:rPr>
              <w:t xml:space="preserve">—</w:t>
            </w:r>
          </w:p>
        </w:tc>
      </w:tr>
      <w:tr>
        <w:trPr>
          <w:cantSplit/>
        </w:trPr>
        <w:tc>
          <w:tcPr>
            <w:tcW w:w="1870" w:type="dxa"/>
            <w:vAlign w:val="top"/>
          </w:tcPr>
          <w:p>
            <w:pPr>
              <w:spacing w:before="40" w:after="40"/>
              <w:rPr>
                <w:sz w:val="18"/>
              </w:rPr>
            </w:pPr>
            <w:r>
              <w:rPr>
                <w:sz w:val="18"/>
                <w:szCs w:val="18"/>
              </w:rPr>
              <w:t xml:space="preserve">S-05</w:t>
            </w:r>
          </w:p>
        </w:tc>
        <w:tc>
          <w:tcPr>
            <w:tcW w:w="1870" w:type="dxa"/>
            <w:vAlign w:val="top"/>
          </w:tcPr>
          <w:p>
            <w:pPr>
              <w:spacing w:before="40" w:after="40"/>
              <w:rPr>
                <w:sz w:val="18"/>
              </w:rPr>
            </w:pPr>
            <w:r>
              <w:rPr>
                <w:sz w:val="18"/>
                <w:szCs w:val="18"/>
              </w:rPr>
              <w:t xml:space="preserve">Especificación de almacenamiento a bordo</w:t>
            </w:r>
          </w:p>
        </w:tc>
        <w:tc>
          <w:tcPr>
            <w:tcW w:w="1870" w:type="dxa"/>
            <w:vAlign w:val="top"/>
          </w:tcPr>
          <w:p>
            <w:pPr>
              <w:spacing w:before="40" w:after="40"/>
              <w:rPr>
                <w:sz w:val="18"/>
              </w:rPr>
            </w:pPr>
            <w:r>
              <w:rPr>
                <w:b/>
                <w:sz w:val="18"/>
                <w:szCs w:val="18"/>
              </w:rPr>
              <w:t xml:space="preserve">≥ 8 GB no volátil</w:t>
            </w:r>
          </w:p>
        </w:tc>
        <w:tc>
          <w:tcPr>
            <w:tcW w:w="1870" w:type="dxa"/>
            <w:vAlign w:val="top"/>
          </w:tcPr>
          <w:p>
            <w:pPr>
              <w:spacing w:before="40" w:after="40"/>
              <w:rPr>
                <w:sz w:val="18"/>
              </w:rPr>
            </w:pPr>
            <w:r>
              <w:rPr>
                <w:sz w:val="18"/>
                <w:szCs w:val="18"/>
              </w:rPr>
              <w:t xml:space="preserve">S-04 × factor de seguridad + cierre fronterizo de 12 días (RT-10.05)</w:t>
            </w:r>
          </w:p>
        </w:tc>
        <w:tc>
          <w:tcPr>
            <w:tcW w:w="1870" w:type="dxa"/>
            <w:vAlign w:val="top"/>
          </w:tcPr>
          <w:p>
            <w:pPr>
              <w:spacing w:before="40" w:after="40"/>
              <w:rPr>
                <w:sz w:val="18"/>
              </w:rPr>
            </w:pPr>
            <w:r>
              <w:rPr>
                <w:sz w:val="18"/>
                <w:szCs w:val="18"/>
              </w:rPr>
              <w:t xml:space="preserve">—</w:t>
            </w:r>
          </w:p>
        </w:tc>
      </w:tr>
      <w:tr>
        <w:trPr>
          <w:cantSplit/>
        </w:trPr>
        <w:tc>
          <w:tcPr>
            <w:tcW w:w="1870" w:type="dxa"/>
            <w:vAlign w:val="top"/>
          </w:tcPr>
          <w:p>
            <w:pPr>
              <w:spacing w:before="40" w:after="40"/>
              <w:rPr>
                <w:sz w:val="18"/>
              </w:rPr>
            </w:pPr>
            <w:r>
              <w:rPr>
                <w:sz w:val="18"/>
                <w:szCs w:val="18"/>
              </w:rPr>
              <w:t xml:space="preserve">S-06</w:t>
            </w:r>
          </w:p>
        </w:tc>
        <w:tc>
          <w:tcPr>
            <w:tcW w:w="1870" w:type="dxa"/>
            <w:vAlign w:val="top"/>
          </w:tcPr>
          <w:p>
            <w:pPr>
              <w:spacing w:before="40" w:after="40"/>
              <w:rPr>
                <w:sz w:val="18"/>
              </w:rPr>
            </w:pPr>
            <w:r>
              <w:rPr>
                <w:sz w:val="18"/>
                <w:szCs w:val="18"/>
              </w:rPr>
              <w:t xml:space="preserve">Consumo mensual de datos por camión</w:t>
            </w:r>
          </w:p>
        </w:tc>
        <w:tc>
          <w:tcPr>
            <w:tcW w:w="1870" w:type="dxa"/>
            <w:vAlign w:val="top"/>
          </w:tcPr>
          <w:p>
            <w:pPr>
              <w:spacing w:before="40" w:after="40"/>
              <w:rPr>
                <w:sz w:val="18"/>
              </w:rPr>
            </w:pPr>
            <w:r>
              <w:rPr>
                <w:sz w:val="18"/>
                <w:szCs w:val="18"/>
              </w:rPr>
              <w:t xml:space="preserve">13–16 MB (escenario B, sin fotografía)</w:t>
            </w:r>
          </w:p>
        </w:tc>
        <w:tc>
          <w:tcPr>
            <w:tcW w:w="1870" w:type="dxa"/>
            <w:vAlign w:val="top"/>
          </w:tcPr>
          <w:p>
            <w:pPr>
              <w:spacing w:before="40" w:after="40"/>
              <w:rPr>
                <w:sz w:val="18"/>
              </w:rPr>
            </w:pPr>
            <w:r>
              <w:rPr>
                <w:sz w:val="18"/>
                <w:szCs w:val="18"/>
              </w:rPr>
              <w:t xml:space="preserve">§5.5</w:t>
            </w:r>
          </w:p>
        </w:tc>
        <w:tc>
          <w:tcPr>
            <w:tcW w:w="1870" w:type="dxa"/>
            <w:vAlign w:val="top"/>
          </w:tcPr>
          <w:p>
            <w:pPr>
              <w:spacing w:before="40" w:after="40"/>
              <w:rPr>
                <w:sz w:val="18"/>
              </w:rPr>
            </w:pPr>
            <w:r>
              <w:rPr>
                <w:sz w:val="18"/>
                <w:szCs w:val="18"/>
              </w:rPr>
              <w:t xml:space="preserve">Campaña de medición</w:t>
            </w:r>
          </w:p>
        </w:tc>
      </w:tr>
      <w:tr>
        <w:trPr>
          <w:cantSplit/>
        </w:trPr>
        <w:tc>
          <w:tcPr>
            <w:tcW w:w="1870" w:type="dxa"/>
            <w:vAlign w:val="top"/>
          </w:tcPr>
          <w:p>
            <w:pPr>
              <w:spacing w:before="40" w:after="40"/>
              <w:rPr>
                <w:sz w:val="18"/>
              </w:rPr>
            </w:pPr>
            <w:r>
              <w:rPr>
                <w:sz w:val="18"/>
                <w:szCs w:val="18"/>
              </w:rPr>
              <w:t xml:space="preserve">S-07</w:t>
            </w:r>
          </w:p>
        </w:tc>
        <w:tc>
          <w:tcPr>
            <w:tcW w:w="1870" w:type="dxa"/>
            <w:vAlign w:val="top"/>
          </w:tcPr>
          <w:p>
            <w:pPr>
              <w:spacing w:before="40" w:after="40"/>
              <w:rPr>
                <w:sz w:val="18"/>
              </w:rPr>
            </w:pPr>
            <w:r>
              <w:rPr>
                <w:sz w:val="18"/>
                <w:szCs w:val="18"/>
              </w:rPr>
              <w:t xml:space="preserve">Consumo agregado de la flota</w:t>
            </w:r>
          </w:p>
        </w:tc>
        <w:tc>
          <w:tcPr>
            <w:tcW w:w="1870" w:type="dxa"/>
            <w:vAlign w:val="top"/>
          </w:tcPr>
          <w:p>
            <w:pPr>
              <w:spacing w:before="40" w:after="40"/>
              <w:rPr>
                <w:sz w:val="18"/>
              </w:rPr>
            </w:pPr>
            <w:r>
              <w:rPr>
                <w:sz w:val="18"/>
                <w:szCs w:val="18"/>
              </w:rPr>
              <w:t xml:space="preserve">≈ 5,6 GB/mes</w:t>
            </w:r>
          </w:p>
        </w:tc>
        <w:tc>
          <w:tcPr>
            <w:tcW w:w="1870" w:type="dxa"/>
            <w:vAlign w:val="top"/>
          </w:tcPr>
          <w:p>
            <w:pPr>
              <w:spacing w:before="40" w:after="40"/>
              <w:rPr>
                <w:sz w:val="18"/>
              </w:rPr>
            </w:pPr>
            <w:r>
              <w:rPr>
                <w:sz w:val="18"/>
                <w:szCs w:val="18"/>
              </w:rPr>
              <w:t xml:space="preserve">S-06 × 374</w:t>
            </w:r>
          </w:p>
        </w:tc>
        <w:tc>
          <w:tcPr>
            <w:tcW w:w="1870" w:type="dxa"/>
            <w:vAlign w:val="top"/>
          </w:tcPr>
          <w:p>
            <w:pPr>
              <w:spacing w:before="40" w:after="40"/>
              <w:rPr>
                <w:sz w:val="18"/>
              </w:rPr>
            </w:pPr>
            <w:r>
              <w:rPr>
                <w:sz w:val="18"/>
                <w:szCs w:val="18"/>
              </w:rPr>
              <w:t xml:space="preserve">—</w:t>
            </w:r>
          </w:p>
        </w:tc>
      </w:tr>
      <w:tr>
        <w:trPr>
          <w:cantSplit/>
        </w:trPr>
        <w:tc>
          <w:tcPr>
            <w:tcW w:w="1870" w:type="dxa"/>
            <w:vAlign w:val="top"/>
          </w:tcPr>
          <w:p>
            <w:pPr>
              <w:spacing w:before="40" w:after="40"/>
              <w:rPr>
                <w:sz w:val="18"/>
              </w:rPr>
            </w:pPr>
            <w:r>
              <w:rPr>
                <w:sz w:val="18"/>
                <w:szCs w:val="18"/>
              </w:rPr>
              <w:t xml:space="preserve">S-08</w:t>
            </w:r>
          </w:p>
        </w:tc>
        <w:tc>
          <w:tcPr>
            <w:tcW w:w="1870" w:type="dxa"/>
            <w:vAlign w:val="top"/>
          </w:tcPr>
          <w:p>
            <w:pPr>
              <w:spacing w:before="40" w:after="40"/>
              <w:rPr>
                <w:sz w:val="18"/>
              </w:rPr>
            </w:pPr>
            <w:r>
              <w:rPr>
                <w:sz w:val="18"/>
                <w:szCs w:val="18"/>
              </w:rPr>
              <w:t xml:space="preserve">Población que requiere capa satelital</w:t>
            </w:r>
          </w:p>
        </w:tc>
        <w:tc>
          <w:tcPr>
            <w:tcW w:w="1870" w:type="dxa"/>
            <w:vAlign w:val="top"/>
          </w:tcPr>
          <w:p>
            <w:pPr>
              <w:spacing w:before="40" w:after="40"/>
              <w:rPr>
                <w:sz w:val="18"/>
              </w:rPr>
            </w:pPr>
            <w:r>
              <w:rPr>
                <w:b/>
                <w:sz w:val="18"/>
                <w:szCs w:val="18"/>
              </w:rPr>
              <w:t xml:space="preserve">No estimable hoy</w:t>
            </w:r>
          </w:p>
        </w:tc>
        <w:tc>
          <w:tcPr>
            <w:tcW w:w="1870" w:type="dxa"/>
            <w:vAlign w:val="top"/>
          </w:tcPr>
          <w:p>
            <w:pPr>
              <w:spacing w:before="40" w:after="40"/>
              <w:rPr>
                <w:sz w:val="18"/>
              </w:rPr>
            </w:pPr>
            <w:r>
              <w:rPr>
                <w:sz w:val="18"/>
                <w:szCs w:val="18"/>
              </w:rPr>
              <w:t xml:space="preserve">RT-03.24 prohíbe suponer la cobertura</w:t>
            </w:r>
          </w:p>
        </w:tc>
        <w:tc>
          <w:tcPr>
            <w:tcW w:w="1870" w:type="dxa"/>
            <w:vAlign w:val="top"/>
          </w:tcPr>
          <w:p>
            <w:pPr>
              <w:spacing w:before="40" w:after="40"/>
              <w:rPr>
                <w:sz w:val="18"/>
              </w:rPr>
            </w:pPr>
            <w:r>
              <w:rPr>
                <w:sz w:val="18"/>
                <w:szCs w:val="18"/>
              </w:rPr>
              <w:t xml:space="preserve">Campaña de medición, Etapa 1</w:t>
            </w:r>
          </w:p>
        </w:tc>
      </w:tr>
      <w:tr>
        <w:trPr>
          <w:cantSplit/>
        </w:trPr>
        <w:tc>
          <w:tcPr>
            <w:tcW w:w="1870" w:type="dxa"/>
            <w:vAlign w:val="top"/>
          </w:tcPr>
          <w:p>
            <w:pPr>
              <w:spacing w:before="40" w:after="40"/>
              <w:rPr>
                <w:sz w:val="18"/>
              </w:rPr>
            </w:pPr>
            <w:r>
              <w:rPr>
                <w:sz w:val="18"/>
                <w:szCs w:val="18"/>
              </w:rPr>
              <w:t xml:space="preserve">S-09</w:t>
            </w:r>
          </w:p>
        </w:tc>
        <w:tc>
          <w:tcPr>
            <w:tcW w:w="1870" w:type="dxa"/>
            <w:vAlign w:val="top"/>
          </w:tcPr>
          <w:p>
            <w:pPr>
              <w:spacing w:before="40" w:after="40"/>
              <w:rPr>
                <w:sz w:val="18"/>
              </w:rPr>
            </w:pPr>
            <w:r>
              <w:rPr>
                <w:sz w:val="18"/>
                <w:szCs w:val="18"/>
              </w:rPr>
              <w:t xml:space="preserve">Composición del parque de terceros</w:t>
            </w:r>
          </w:p>
        </w:tc>
        <w:tc>
          <w:tcPr>
            <w:tcW w:w="1870" w:type="dxa"/>
            <w:vAlign w:val="top"/>
          </w:tcPr>
          <w:p>
            <w:pPr>
              <w:spacing w:before="40" w:after="40"/>
              <w:rPr>
                <w:sz w:val="18"/>
              </w:rPr>
            </w:pPr>
            <w:r>
              <w:rPr>
                <w:b/>
                <w:sz w:val="18"/>
                <w:szCs w:val="18"/>
              </w:rPr>
              <w:t xml:space="preserve">Desconocida</w:t>
            </w:r>
          </w:p>
        </w:tc>
        <w:tc>
          <w:tcPr>
            <w:tcW w:w="1870" w:type="dxa"/>
            <w:vAlign w:val="top"/>
          </w:tcPr>
          <w:p>
            <w:pPr>
              <w:spacing w:before="40" w:after="40"/>
              <w:rPr>
                <w:sz w:val="18"/>
              </w:rPr>
            </w:pPr>
            <w:r>
              <w:rPr>
                <w:sz w:val="18"/>
                <w:szCs w:val="18"/>
              </w:rPr>
              <w:t xml:space="preserve">El caso no la entrega</w:t>
            </w:r>
          </w:p>
        </w:tc>
        <w:tc>
          <w:tcPr>
            <w:tcW w:w="1870" w:type="dxa"/>
            <w:vAlign w:val="top"/>
          </w:tcPr>
          <w:p>
            <w:pPr>
              <w:spacing w:before="40" w:after="40"/>
              <w:rPr>
                <w:sz w:val="18"/>
              </w:rPr>
            </w:pPr>
            <w:r>
              <w:rPr>
                <w:sz w:val="18"/>
                <w:szCs w:val="18"/>
              </w:rPr>
              <w:t xml:space="preserve">Levantamiento en Etapa 1 + consulta</w:t>
            </w:r>
          </w:p>
        </w:tc>
      </w:tr>
      <w:tr>
        <w:trPr>
          <w:cantSplit/>
        </w:trPr>
        <w:tc>
          <w:tcPr>
            <w:tcW w:w="1870" w:type="dxa"/>
            <w:vAlign w:val="top"/>
          </w:tcPr>
          <w:p>
            <w:pPr>
              <w:spacing w:before="40" w:after="40"/>
              <w:rPr>
                <w:sz w:val="18"/>
              </w:rPr>
            </w:pPr>
            <w:r>
              <w:rPr>
                <w:sz w:val="18"/>
                <w:szCs w:val="18"/>
              </w:rPr>
              <w:t xml:space="preserve">S-10</w:t>
            </w:r>
          </w:p>
        </w:tc>
        <w:tc>
          <w:tcPr>
            <w:tcW w:w="1870" w:type="dxa"/>
            <w:vAlign w:val="top"/>
          </w:tcPr>
          <w:p>
            <w:pPr>
              <w:spacing w:before="40" w:after="40"/>
              <w:rPr>
                <w:sz w:val="18"/>
              </w:rPr>
            </w:pPr>
            <w:r>
              <w:rPr>
                <w:sz w:val="18"/>
                <w:szCs w:val="18"/>
              </w:rPr>
              <w:t xml:space="preserve">Tarificación satelital por mensaje, no por byte</w:t>
            </w:r>
          </w:p>
        </w:tc>
        <w:tc>
          <w:tcPr>
            <w:tcW w:w="1870" w:type="dxa"/>
            <w:vAlign w:val="top"/>
          </w:tcPr>
          <w:p>
            <w:pPr>
              <w:spacing w:before="40" w:after="40"/>
              <w:rPr>
                <w:sz w:val="18"/>
              </w:rPr>
            </w:pPr>
            <w:r>
              <w:rPr>
                <w:sz w:val="18"/>
                <w:szCs w:val="18"/>
              </w:rPr>
              <w:t xml:space="preserve">Modelo SBD</w:t>
            </w:r>
          </w:p>
        </w:tc>
        <w:tc>
          <w:tcPr>
            <w:tcW w:w="1870" w:type="dxa"/>
            <w:vAlign w:val="top"/>
          </w:tcPr>
          <w:p>
            <w:pPr>
              <w:spacing w:before="40" w:after="40"/>
              <w:rPr>
                <w:sz w:val="18"/>
              </w:rPr>
            </w:pPr>
            <w:r>
              <w:rPr>
                <w:sz w:val="18"/>
                <w:szCs w:val="18"/>
              </w:rPr>
              <w:t xml:space="preserve">§5.5</w:t>
            </w:r>
          </w:p>
        </w:tc>
        <w:tc>
          <w:tcPr>
            <w:tcW w:w="1870" w:type="dxa"/>
            <w:vAlign w:val="top"/>
          </w:tcPr>
          <w:p>
            <w:pPr>
              <w:spacing w:before="40" w:after="40"/>
              <w:rPr>
                <w:sz w:val="18"/>
              </w:rPr>
            </w:pPr>
            <w:r>
              <w:rPr>
                <w:sz w:val="18"/>
                <w:szCs w:val="18"/>
              </w:rPr>
              <w:t xml:space="preserve">Cotización</w:t>
            </w:r>
          </w:p>
        </w:tc>
      </w:tr>
      <w:tr>
        <w:trPr>
          <w:cantSplit/>
        </w:trPr>
        <w:tc>
          <w:tcPr>
            <w:tcW w:w="1870" w:type="dxa"/>
            <w:vAlign w:val="top"/>
          </w:tcPr>
          <w:p>
            <w:pPr>
              <w:spacing w:before="40" w:after="40"/>
              <w:rPr>
                <w:sz w:val="18"/>
              </w:rPr>
            </w:pPr>
            <w:r>
              <w:rPr>
                <w:sz w:val="18"/>
                <w:szCs w:val="18"/>
              </w:rPr>
              <w:t xml:space="preserve">S-11</w:t>
            </w:r>
          </w:p>
        </w:tc>
        <w:tc>
          <w:tcPr>
            <w:tcW w:w="1870" w:type="dxa"/>
            <w:vAlign w:val="top"/>
          </w:tcPr>
          <w:p>
            <w:pPr>
              <w:spacing w:before="40" w:after="40"/>
              <w:rPr>
                <w:sz w:val="18"/>
              </w:rPr>
            </w:pPr>
            <w:r>
              <w:rPr>
                <w:sz w:val="18"/>
                <w:szCs w:val="18"/>
              </w:rPr>
              <w:t xml:space="preserve">Latencia de pánico en modo satelital</w:t>
            </w:r>
          </w:p>
        </w:tc>
        <w:tc>
          <w:tcPr>
            <w:tcW w:w="1870" w:type="dxa"/>
            <w:vAlign w:val="top"/>
          </w:tcPr>
          <w:p>
            <w:pPr>
              <w:spacing w:before="40" w:after="40"/>
              <w:rPr>
                <w:sz w:val="18"/>
              </w:rPr>
            </w:pPr>
            <w:r>
              <w:rPr>
                <w:sz w:val="18"/>
                <w:szCs w:val="18"/>
              </w:rPr>
              <w:t xml:space="preserve">A declarar y fundamentar</w:t>
            </w:r>
          </w:p>
        </w:tc>
        <w:tc>
          <w:tcPr>
            <w:tcW w:w="1870" w:type="dxa"/>
            <w:vAlign w:val="top"/>
          </w:tcPr>
          <w:p>
            <w:pPr>
              <w:spacing w:before="40" w:after="40"/>
              <w:rPr>
                <w:sz w:val="18"/>
              </w:rPr>
            </w:pPr>
            <w:r>
              <w:rPr>
                <w:sz w:val="18"/>
                <w:szCs w:val="18"/>
              </w:rPr>
              <w:t xml:space="preserve">RT-09.01 limita el umbral de 15 s a «con cobertura»</w:t>
            </w:r>
          </w:p>
        </w:tc>
        <w:tc>
          <w:tcPr>
            <w:tcW w:w="1870" w:type="dxa"/>
            <w:vAlign w:val="top"/>
          </w:tcPr>
          <w:p>
            <w:pPr>
              <w:spacing w:before="40" w:after="40"/>
              <w:rPr>
                <w:sz w:val="18"/>
              </w:rPr>
            </w:pPr>
            <w:r>
              <w:rPr>
                <w:sz w:val="18"/>
                <w:szCs w:val="18"/>
              </w:rPr>
              <w:t xml:space="preserve">—</w:t>
            </w:r>
          </w:p>
        </w:tc>
      </w:tr>
      <w:tr>
        <w:trPr>
          <w:cantSplit/>
        </w:trPr>
        <w:tc>
          <w:tcPr>
            <w:tcW w:w="1870" w:type="dxa"/>
            <w:vAlign w:val="top"/>
          </w:tcPr>
          <w:p>
            <w:pPr>
              <w:spacing w:before="40" w:after="40"/>
              <w:rPr>
                <w:sz w:val="18"/>
              </w:rPr>
            </w:pPr>
            <w:r>
              <w:rPr>
                <w:sz w:val="18"/>
                <w:szCs w:val="18"/>
              </w:rPr>
              <w:t xml:space="preserve">S-12</w:t>
            </w:r>
          </w:p>
        </w:tc>
        <w:tc>
          <w:tcPr>
            <w:tcW w:w="1870" w:type="dxa"/>
            <w:vAlign w:val="top"/>
          </w:tcPr>
          <w:p>
            <w:pPr>
              <w:spacing w:before="40" w:after="40"/>
              <w:rPr>
                <w:sz w:val="18"/>
              </w:rPr>
            </w:pPr>
            <w:r>
              <w:rPr>
                <w:sz w:val="18"/>
                <w:szCs w:val="18"/>
              </w:rPr>
              <w:t xml:space="preserve">Tipología de San Bernardo</w:t>
            </w:r>
          </w:p>
        </w:tc>
        <w:tc>
          <w:tcPr>
            <w:tcW w:w="1870" w:type="dxa"/>
            <w:vAlign w:val="top"/>
          </w:tcPr>
          <w:p>
            <w:pPr>
              <w:spacing w:before="40" w:after="40"/>
              <w:rPr>
                <w:sz w:val="18"/>
              </w:rPr>
            </w:pPr>
            <w:r>
              <w:rPr>
                <w:sz w:val="18"/>
                <w:szCs w:val="18"/>
              </w:rPr>
              <w:t xml:space="preserve">Sala técnica de sitio</w:t>
            </w:r>
          </w:p>
        </w:tc>
        <w:tc>
          <w:tcPr>
            <w:tcW w:w="1870" w:type="dxa"/>
            <w:vAlign w:val="top"/>
          </w:tcPr>
          <w:p>
            <w:pPr>
              <w:spacing w:before="40" w:after="40"/>
              <w:rPr>
                <w:sz w:val="18"/>
              </w:rPr>
            </w:pPr>
            <w:r>
              <w:rPr>
                <w:sz w:val="18"/>
                <w:szCs w:val="18"/>
              </w:rPr>
              <w:t xml:space="preserve">Numeral 6.1 transversal</w:t>
            </w:r>
          </w:p>
        </w:tc>
        <w:tc>
          <w:tcPr>
            <w:tcW w:w="1870" w:type="dxa"/>
            <w:vAlign w:val="top"/>
          </w:tcPr>
          <w:p>
            <w:pPr>
              <w:spacing w:before="40" w:after="40"/>
              <w:rPr>
                <w:sz w:val="18"/>
              </w:rPr>
            </w:pPr>
            <w:r>
              <w:rPr>
                <w:b/>
                <w:sz w:val="18"/>
                <w:szCs w:val="18"/>
              </w:rPr>
              <w:t xml:space="preserve">Consulta C-03</w:t>
            </w:r>
          </w:p>
        </w:tc>
      </w:tr>
    </w:tbl>
    <w:p>
      <w:pPr>
        <w:spacing w:before="0" w:after="100"/>
      </w:pPr>
    </w:p>
    <w:p>
      <w:pPr>
        <w:pBdr>
          <w:bottom w:val="single" w:sz="6" w:space="1" w:color="C8D2DE"/>
        </w:pBdr>
        <w:spacing w:before="160" w:after="160"/>
      </w:pPr>
    </w:p>
    <w:p>
      <w:pPr>
        <w:pStyle w:val="Heading1"/>
        <w:keepNext/>
        <w:spacing w:before="320" w:after="120"/>
      </w:pPr>
      <w:r>
        <w:t xml:space="preserve">8. Consultas al CLIENTE — cierran el 01-09-2026</w:t>
      </w:r>
    </w:p>
    <w:p>
      <w:pPr>
        <w:spacing w:before="0" w:after="140" w:line="264" w:lineRule="auto"/>
      </w:pPr>
      <w:r>
        <w:t xml:space="preserve">El Art. 43° advierte que el CLIENTE </w:t>
      </w:r>
      <w:r>
        <w:rPr>
          <w:b/>
        </w:rPr>
        <w:t xml:space="preserve">registra qué empresas identifican vacíos, contradicciones y riesgos</w:t>
      </w:r>
      <w:r>
        <w:t xml:space="preserve">, y cuáles solo piden aclaraciones sobre materias ya resueltas en el texto.</w:t>
      </w:r>
    </w:p>
    <w:p>
      <w:pPr>
        <w:spacing w:before="0" w:after="140" w:line="264" w:lineRule="auto"/>
      </w:pPr>
      <w:r>
        <w:rPr>
          <w:b/>
        </w:rPr>
        <w:t xml:space="preserve">Las de D4, por orden de impacto: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w:t>
            </w:r>
          </w:p>
        </w:tc>
        <w:tc>
          <w:tcPr>
            <w:tcW w:w="3116" w:type="dxa"/>
            <w:shd w:val="clear" w:fill="EDF2F8"/>
            <w:vAlign w:val="top"/>
          </w:tcPr>
          <w:p>
            <w:pPr>
              <w:spacing w:before="40" w:after="40"/>
              <w:rPr>
                <w:sz w:val="18"/>
              </w:rPr>
            </w:pPr>
            <w:r>
              <w:rPr>
                <w:b/>
                <w:sz w:val="18"/>
                <w:szCs w:val="18"/>
              </w:rPr>
              <w:t xml:space="preserve">Consulta</w:t>
            </w:r>
          </w:p>
        </w:tc>
        <w:tc>
          <w:tcPr>
            <w:tcW w:w="3116" w:type="dxa"/>
            <w:shd w:val="clear" w:fill="EDF2F8"/>
            <w:vAlign w:val="top"/>
          </w:tcPr>
          <w:p>
            <w:pPr>
              <w:spacing w:before="40" w:after="40"/>
              <w:rPr>
                <w:sz w:val="18"/>
              </w:rPr>
            </w:pPr>
            <w:r>
              <w:rPr>
                <w:b/>
                <w:sz w:val="18"/>
                <w:szCs w:val="18"/>
              </w:rPr>
              <w:t xml:space="preserve">Por qué bloquea a D4</w:t>
            </w:r>
          </w:p>
        </w:tc>
      </w:tr>
      <w:tr>
        <w:trPr>
          <w:cantSplit/>
        </w:trPr>
        <w:tc>
          <w:tcPr>
            <w:tcW w:w="3116" w:type="dxa"/>
            <w:vAlign w:val="top"/>
          </w:tcPr>
          <w:p>
            <w:pPr>
              <w:spacing w:before="40" w:after="40"/>
              <w:rPr>
                <w:sz w:val="18"/>
              </w:rPr>
            </w:pPr>
            <w:r>
              <w:rPr>
                <w:b/>
                <w:sz w:val="18"/>
                <w:szCs w:val="18"/>
              </w:rPr>
              <w:t xml:space="preserve">C-01</w:t>
            </w:r>
          </w:p>
        </w:tc>
        <w:tc>
          <w:tcPr>
            <w:tcW w:w="3116" w:type="dxa"/>
            <w:vAlign w:val="top"/>
          </w:tcPr>
          <w:p>
            <w:pPr>
              <w:spacing w:before="40" w:after="40"/>
              <w:rPr>
                <w:sz w:val="18"/>
              </w:rPr>
            </w:pPr>
            <w:r>
              <w:rPr>
                <w:sz w:val="18"/>
                <w:szCs w:val="18"/>
              </w:rPr>
              <w:t xml:space="preserve">RT-08.10 exige declarar el costo unitario estimado de cada dispositivo de terreno dentro de la especificación técnica; el Art. 50.2 prohíbe toda cifra de precio en la Oferta Técnica bajo causal de exclusión. ¿Se entrega la especificación sin valorización en el Sobre N.º 2 y los costos en el Sobre N.º 3?</w:t>
            </w:r>
          </w:p>
        </w:tc>
        <w:tc>
          <w:tcPr>
            <w:tcW w:w="3116" w:type="dxa"/>
            <w:vAlign w:val="top"/>
          </w:tcPr>
          <w:p>
            <w:pPr>
              <w:spacing w:before="40" w:after="40"/>
              <w:rPr>
                <w:sz w:val="18"/>
              </w:rPr>
            </w:pPr>
            <w:r>
              <w:rPr>
                <w:sz w:val="18"/>
                <w:szCs w:val="18"/>
              </w:rPr>
              <w:t xml:space="preserve">Define el formato de la tabla del T-11, que es el corazón de 4.2</w:t>
            </w:r>
          </w:p>
        </w:tc>
      </w:tr>
      <w:tr>
        <w:trPr>
          <w:cantSplit/>
        </w:trPr>
        <w:tc>
          <w:tcPr>
            <w:tcW w:w="3116" w:type="dxa"/>
            <w:vAlign w:val="top"/>
          </w:tcPr>
          <w:p>
            <w:pPr>
              <w:spacing w:before="40" w:after="40"/>
              <w:rPr>
                <w:sz w:val="18"/>
              </w:rPr>
            </w:pPr>
            <w:r>
              <w:rPr>
                <w:b/>
                <w:sz w:val="18"/>
                <w:szCs w:val="18"/>
              </w:rPr>
              <w:t xml:space="preserve">C-02</w:t>
            </w:r>
          </w:p>
        </w:tc>
        <w:tc>
          <w:tcPr>
            <w:tcW w:w="3116" w:type="dxa"/>
            <w:vAlign w:val="top"/>
          </w:tcPr>
          <w:p>
            <w:pPr>
              <w:spacing w:before="40" w:after="40"/>
              <w:rPr>
                <w:sz w:val="18"/>
              </w:rPr>
            </w:pPr>
            <w:r>
              <w:rPr>
                <w:sz w:val="18"/>
                <w:szCs w:val="18"/>
              </w:rPr>
              <w:t xml:space="preserve">RT-03.10 exige 72 h de operación desconectada del dispositivo a bordo. La restricción 3 impide intervenir, reconfigurar o reemplazar los dispositivos de camiones de terceros sin acuerdo expreso. ¿Se entiende RT-03.10 exigible solo sobre las unidades intervenidas, quedando el resto sujeto al estándar de homologación del Cap. 11?</w:t>
            </w:r>
          </w:p>
        </w:tc>
        <w:tc>
          <w:tcPr>
            <w:tcW w:w="3116" w:type="dxa"/>
            <w:vAlign w:val="top"/>
          </w:tcPr>
          <w:p>
            <w:pPr>
              <w:spacing w:before="40" w:after="40"/>
              <w:rPr>
                <w:sz w:val="18"/>
              </w:rPr>
            </w:pPr>
            <w:r>
              <w:rPr>
                <w:sz w:val="18"/>
                <w:szCs w:val="18"/>
              </w:rPr>
              <w:t xml:space="preserve">Sin esto, el requisito es incumplible por diseño en el 51 % de la flota</w:t>
            </w:r>
          </w:p>
        </w:tc>
      </w:tr>
      <w:tr>
        <w:trPr>
          <w:cantSplit/>
        </w:trPr>
        <w:tc>
          <w:tcPr>
            <w:tcW w:w="3116" w:type="dxa"/>
            <w:vAlign w:val="top"/>
          </w:tcPr>
          <w:p>
            <w:pPr>
              <w:spacing w:before="40" w:after="40"/>
              <w:rPr>
                <w:sz w:val="18"/>
              </w:rPr>
            </w:pPr>
            <w:r>
              <w:rPr>
                <w:b/>
                <w:sz w:val="18"/>
                <w:szCs w:val="18"/>
              </w:rPr>
              <w:t xml:space="preserve">C-03</w:t>
            </w:r>
          </w:p>
        </w:tc>
        <w:tc>
          <w:tcPr>
            <w:tcW w:w="3116" w:type="dxa"/>
            <w:vAlign w:val="top"/>
          </w:tcPr>
          <w:p>
            <w:pPr>
              <w:spacing w:before="40" w:after="40"/>
              <w:rPr>
                <w:sz w:val="18"/>
              </w:rPr>
            </w:pPr>
            <w:r>
              <w:rPr>
                <w:sz w:val="18"/>
                <w:szCs w:val="18"/>
              </w:rPr>
              <w:t xml:space="preserve">RT-06.01 del Caso ordena remediar o reemplazar la sala de San Bernardo por no cumplir el Cap. 6 transversal, sin indicar tipología. El numeral 6.1 transversal define tres tipologías y penaliza sobredimensionar. ¿Se acepta declararla como «sala técnica secundaria o de sitio», quedando el núcleo en nube?</w:t>
            </w:r>
          </w:p>
        </w:tc>
        <w:tc>
          <w:tcPr>
            <w:tcW w:w="3116" w:type="dxa"/>
            <w:vAlign w:val="top"/>
          </w:tcPr>
          <w:p>
            <w:pPr>
              <w:spacing w:before="40" w:after="40"/>
              <w:rPr>
                <w:sz w:val="18"/>
              </w:rPr>
            </w:pPr>
            <w:r>
              <w:rPr>
                <w:sz w:val="18"/>
                <w:szCs w:val="18"/>
              </w:rPr>
              <w:t xml:space="preserve">Define todo el capítulo de data center y su costo</w:t>
            </w:r>
          </w:p>
        </w:tc>
      </w:tr>
      <w:tr>
        <w:trPr>
          <w:cantSplit/>
        </w:trPr>
        <w:tc>
          <w:tcPr>
            <w:tcW w:w="3116" w:type="dxa"/>
            <w:vAlign w:val="top"/>
          </w:tcPr>
          <w:p>
            <w:pPr>
              <w:spacing w:before="40" w:after="40"/>
              <w:rPr>
                <w:sz w:val="18"/>
              </w:rPr>
            </w:pPr>
            <w:r>
              <w:rPr>
                <w:b/>
                <w:sz w:val="18"/>
                <w:szCs w:val="18"/>
              </w:rPr>
              <w:t xml:space="preserve">C-04</w:t>
            </w:r>
          </w:p>
        </w:tc>
        <w:tc>
          <w:tcPr>
            <w:tcW w:w="3116" w:type="dxa"/>
            <w:vAlign w:val="top"/>
          </w:tcPr>
          <w:p>
            <w:pPr>
              <w:spacing w:before="40" w:after="40"/>
              <w:rPr>
                <w:sz w:val="18"/>
              </w:rPr>
            </w:pPr>
            <w:r>
              <w:rPr>
                <w:sz w:val="18"/>
                <w:szCs w:val="18"/>
              </w:rPr>
              <w:t xml:space="preserve">¿En qué instalaciones distintas de San Bernardo existe espacio apto para un sitio secundario que satisfaga RT-07.02 (distancia suficiente para no verse afectado por el mismo evento de fuerza mayor)?</w:t>
            </w:r>
          </w:p>
        </w:tc>
        <w:tc>
          <w:tcPr>
            <w:tcW w:w="3116" w:type="dxa"/>
            <w:vAlign w:val="top"/>
          </w:tcPr>
          <w:p>
            <w:pPr>
              <w:spacing w:before="40" w:after="40"/>
              <w:rPr>
                <w:sz w:val="18"/>
              </w:rPr>
            </w:pPr>
            <w:r>
              <w:rPr>
                <w:sz w:val="18"/>
                <w:szCs w:val="18"/>
              </w:rPr>
              <w:t xml:space="preserve">El T-11 pide primario y secundario</w:t>
            </w:r>
          </w:p>
        </w:tc>
      </w:tr>
      <w:tr>
        <w:trPr>
          <w:cantSplit/>
        </w:trPr>
        <w:tc>
          <w:tcPr>
            <w:tcW w:w="3116" w:type="dxa"/>
            <w:vAlign w:val="top"/>
          </w:tcPr>
          <w:p>
            <w:pPr>
              <w:spacing w:before="40" w:after="40"/>
              <w:rPr>
                <w:sz w:val="18"/>
              </w:rPr>
            </w:pPr>
            <w:r>
              <w:rPr>
                <w:b/>
                <w:sz w:val="18"/>
                <w:szCs w:val="18"/>
              </w:rPr>
              <w:t xml:space="preserve">C-05</w:t>
            </w:r>
          </w:p>
        </w:tc>
        <w:tc>
          <w:tcPr>
            <w:tcW w:w="3116" w:type="dxa"/>
            <w:vAlign w:val="top"/>
          </w:tcPr>
          <w:p>
            <w:pPr>
              <w:spacing w:before="40" w:after="40"/>
              <w:rPr>
                <w:sz w:val="18"/>
              </w:rPr>
            </w:pPr>
            <w:r>
              <w:rPr>
                <w:sz w:val="18"/>
                <w:szCs w:val="18"/>
              </w:rPr>
              <w:t xml:space="preserve">¿El espacio de San Bernardo admite ampliación más allá de los 26 m²?</w:t>
            </w:r>
          </w:p>
        </w:tc>
        <w:tc>
          <w:tcPr>
            <w:tcW w:w="3116" w:type="dxa"/>
            <w:vAlign w:val="top"/>
          </w:tcPr>
          <w:p>
            <w:pPr>
              <w:spacing w:before="40" w:after="40"/>
              <w:rPr>
                <w:sz w:val="18"/>
              </w:rPr>
            </w:pPr>
            <w:r>
              <w:rPr>
                <w:sz w:val="18"/>
                <w:szCs w:val="18"/>
              </w:rPr>
              <w:t xml:space="preserve">Condiciona el dimensionamiento</w:t>
            </w:r>
          </w:p>
        </w:tc>
      </w:tr>
      <w:tr>
        <w:trPr>
          <w:cantSplit/>
        </w:trPr>
        <w:tc>
          <w:tcPr>
            <w:tcW w:w="3116" w:type="dxa"/>
            <w:vAlign w:val="top"/>
          </w:tcPr>
          <w:p>
            <w:pPr>
              <w:spacing w:before="40" w:after="40"/>
              <w:rPr>
                <w:sz w:val="18"/>
              </w:rPr>
            </w:pPr>
            <w:r>
              <w:rPr>
                <w:b/>
                <w:sz w:val="18"/>
                <w:szCs w:val="18"/>
              </w:rPr>
              <w:t xml:space="preserve">C-06</w:t>
            </w:r>
          </w:p>
        </w:tc>
        <w:tc>
          <w:tcPr>
            <w:tcW w:w="3116" w:type="dxa"/>
            <w:vAlign w:val="top"/>
          </w:tcPr>
          <w:p>
            <w:pPr>
              <w:spacing w:before="40" w:after="40"/>
              <w:rPr>
                <w:sz w:val="18"/>
              </w:rPr>
            </w:pPr>
            <w:r>
              <w:rPr>
                <w:sz w:val="18"/>
                <w:szCs w:val="18"/>
              </w:rPr>
              <w:t xml:space="preserve">¿Existen mediciones previas de cobertura móvil, o la caracterización en terreno se ejecuta íntegramente en Etapa 1 con cargo al proyecto?</w:t>
            </w:r>
          </w:p>
        </w:tc>
        <w:tc>
          <w:tcPr>
            <w:tcW w:w="3116" w:type="dxa"/>
            <w:vAlign w:val="top"/>
          </w:tcPr>
          <w:p>
            <w:pPr>
              <w:spacing w:before="40" w:after="40"/>
              <w:rPr>
                <w:sz w:val="18"/>
              </w:rPr>
            </w:pPr>
            <w:r>
              <w:rPr>
                <w:sz w:val="18"/>
                <w:szCs w:val="18"/>
              </w:rPr>
              <w:t xml:space="preserve">Determina costo y plazo de una actividad obligatoria</w:t>
            </w:r>
          </w:p>
        </w:tc>
      </w:tr>
      <w:tr>
        <w:trPr>
          <w:cantSplit/>
        </w:trPr>
        <w:tc>
          <w:tcPr>
            <w:tcW w:w="3116" w:type="dxa"/>
            <w:vAlign w:val="top"/>
          </w:tcPr>
          <w:p>
            <w:pPr>
              <w:spacing w:before="40" w:after="40"/>
              <w:rPr>
                <w:sz w:val="18"/>
              </w:rPr>
            </w:pPr>
            <w:r>
              <w:rPr>
                <w:b/>
                <w:sz w:val="18"/>
                <w:szCs w:val="18"/>
              </w:rPr>
              <w:t xml:space="preserve">C-07</w:t>
            </w:r>
          </w:p>
        </w:tc>
        <w:tc>
          <w:tcPr>
            <w:tcW w:w="3116" w:type="dxa"/>
            <w:vAlign w:val="top"/>
          </w:tcPr>
          <w:p>
            <w:pPr>
              <w:spacing w:before="40" w:after="40"/>
              <w:rPr>
                <w:sz w:val="18"/>
              </w:rPr>
            </w:pPr>
            <w:r>
              <w:rPr>
                <w:sz w:val="18"/>
                <w:szCs w:val="18"/>
              </w:rPr>
              <w:t xml:space="preserve">Parque telemático de los 226 camiones de terceros: ¿cuántos por proveedor? ¿Hay información de almacenamiento local y formato de exportación?</w:t>
            </w:r>
          </w:p>
        </w:tc>
        <w:tc>
          <w:tcPr>
            <w:tcW w:w="3116" w:type="dxa"/>
            <w:vAlign w:val="top"/>
          </w:tcPr>
          <w:p>
            <w:pPr>
              <w:spacing w:before="40" w:after="40"/>
              <w:rPr>
                <w:sz w:val="18"/>
              </w:rPr>
            </w:pPr>
            <w:r>
              <w:rPr>
                <w:sz w:val="18"/>
                <w:szCs w:val="18"/>
              </w:rPr>
              <w:t xml:space="preserve">Sin esto no hay clasificación cumple/no cumple/desconocido</w:t>
            </w:r>
          </w:p>
        </w:tc>
      </w:tr>
      <w:tr>
        <w:trPr>
          <w:cantSplit/>
        </w:trPr>
        <w:tc>
          <w:tcPr>
            <w:tcW w:w="3116" w:type="dxa"/>
            <w:vAlign w:val="top"/>
          </w:tcPr>
          <w:p>
            <w:pPr>
              <w:spacing w:before="40" w:after="40"/>
              <w:rPr>
                <w:sz w:val="18"/>
              </w:rPr>
            </w:pPr>
            <w:r>
              <w:rPr>
                <w:b/>
                <w:sz w:val="18"/>
                <w:szCs w:val="18"/>
              </w:rPr>
              <w:t xml:space="preserve">C-08</w:t>
            </w:r>
          </w:p>
        </w:tc>
        <w:tc>
          <w:tcPr>
            <w:tcW w:w="3116" w:type="dxa"/>
            <w:vAlign w:val="top"/>
          </w:tcPr>
          <w:p>
            <w:pPr>
              <w:spacing w:before="40" w:after="40"/>
              <w:rPr>
                <w:sz w:val="18"/>
              </w:rPr>
            </w:pPr>
            <w:r>
              <w:rPr>
                <w:sz w:val="18"/>
                <w:szCs w:val="18"/>
              </w:rPr>
              <w:t xml:space="preserve">¿Algún camión de tercero cuenta con tacógrafo digital, y en qué proporción?</w:t>
            </w:r>
          </w:p>
        </w:tc>
        <w:tc>
          <w:tcPr>
            <w:tcW w:w="3116" w:type="dxa"/>
            <w:vAlign w:val="top"/>
          </w:tcPr>
          <w:p>
            <w:pPr>
              <w:spacing w:before="40" w:after="40"/>
              <w:rPr>
                <w:sz w:val="18"/>
              </w:rPr>
            </w:pPr>
            <w:r>
              <w:rPr>
                <w:sz w:val="18"/>
                <w:szCs w:val="18"/>
              </w:rPr>
              <w:t xml:space="preserve">Dimensiona el programa del tacógrafo</w:t>
            </w:r>
          </w:p>
        </w:tc>
      </w:tr>
      <w:tr>
        <w:trPr>
          <w:cantSplit/>
        </w:trPr>
        <w:tc>
          <w:tcPr>
            <w:tcW w:w="3116" w:type="dxa"/>
            <w:vAlign w:val="top"/>
          </w:tcPr>
          <w:p>
            <w:pPr>
              <w:spacing w:before="40" w:after="40"/>
              <w:rPr>
                <w:sz w:val="18"/>
              </w:rPr>
            </w:pPr>
            <w:r>
              <w:rPr>
                <w:b/>
                <w:sz w:val="18"/>
                <w:szCs w:val="18"/>
              </w:rPr>
              <w:t xml:space="preserve">C-09</w:t>
            </w:r>
          </w:p>
        </w:tc>
        <w:tc>
          <w:tcPr>
            <w:tcW w:w="3116" w:type="dxa"/>
            <w:vAlign w:val="top"/>
          </w:tcPr>
          <w:p>
            <w:pPr>
              <w:spacing w:before="40" w:after="40"/>
              <w:rPr>
                <w:sz w:val="18"/>
              </w:rPr>
            </w:pPr>
            <w:r>
              <w:rPr>
                <w:sz w:val="18"/>
                <w:szCs w:val="18"/>
              </w:rPr>
              <w:t xml:space="preserve">¿Cuáles de los 18 camiones de carga peligrosa son propios y cuáles de terceros?</w:t>
            </w:r>
          </w:p>
        </w:tc>
        <w:tc>
          <w:tcPr>
            <w:tcW w:w="3116" w:type="dxa"/>
            <w:vAlign w:val="top"/>
          </w:tcPr>
          <w:p>
            <w:pPr>
              <w:spacing w:before="40" w:after="40"/>
              <w:rPr>
                <w:sz w:val="18"/>
              </w:rPr>
            </w:pPr>
            <w:r>
              <w:rPr>
                <w:sz w:val="18"/>
                <w:szCs w:val="18"/>
              </w:rPr>
              <w:t xml:space="preserve">Es la población prioritaria de capa satelital</w:t>
            </w:r>
          </w:p>
        </w:tc>
      </w:tr>
      <w:tr>
        <w:trPr>
          <w:cantSplit/>
        </w:trPr>
        <w:tc>
          <w:tcPr>
            <w:tcW w:w="3116" w:type="dxa"/>
            <w:vAlign w:val="top"/>
          </w:tcPr>
          <w:p>
            <w:pPr>
              <w:spacing w:before="40" w:after="40"/>
              <w:rPr>
                <w:sz w:val="18"/>
              </w:rPr>
            </w:pPr>
            <w:r>
              <w:rPr>
                <w:b/>
                <w:sz w:val="18"/>
                <w:szCs w:val="18"/>
              </w:rPr>
              <w:t xml:space="preserve">C-10</w:t>
            </w:r>
          </w:p>
        </w:tc>
        <w:tc>
          <w:tcPr>
            <w:tcW w:w="3116" w:type="dxa"/>
            <w:vAlign w:val="top"/>
          </w:tcPr>
          <w:p>
            <w:pPr>
              <w:spacing w:before="40" w:after="40"/>
              <w:rPr>
                <w:sz w:val="18"/>
              </w:rPr>
            </w:pPr>
            <w:r>
              <w:rPr>
                <w:sz w:val="18"/>
                <w:szCs w:val="18"/>
              </w:rPr>
              <w:t xml:space="preserve">¿Existe autorización de la Dirección del Trabajo para sustituir la libreta de la Res. Ex. 1213/2009 por un registro electrónico, o debe tramitarse como parte del proyecto?</w:t>
            </w:r>
          </w:p>
        </w:tc>
        <w:tc>
          <w:tcPr>
            <w:tcW w:w="3116" w:type="dxa"/>
            <w:vAlign w:val="top"/>
          </w:tcPr>
          <w:p>
            <w:pPr>
              <w:spacing w:before="40" w:after="40"/>
              <w:rPr>
                <w:sz w:val="18"/>
              </w:rPr>
            </w:pPr>
            <w:r>
              <w:rPr>
                <w:sz w:val="18"/>
                <w:szCs w:val="18"/>
              </w:rPr>
              <w:t xml:space="preserve">Convierte una decisión de diseño en un hito regulatorio</w:t>
            </w:r>
          </w:p>
        </w:tc>
      </w:tr>
      <w:tr>
        <w:trPr>
          <w:cantSplit/>
        </w:trPr>
        <w:tc>
          <w:tcPr>
            <w:tcW w:w="3116" w:type="dxa"/>
            <w:vAlign w:val="top"/>
          </w:tcPr>
          <w:p>
            <w:pPr>
              <w:spacing w:before="40" w:after="40"/>
              <w:rPr>
                <w:sz w:val="18"/>
              </w:rPr>
            </w:pPr>
            <w:r>
              <w:rPr>
                <w:b/>
                <w:sz w:val="18"/>
                <w:szCs w:val="18"/>
              </w:rPr>
              <w:t xml:space="preserve">C-11</w:t>
            </w:r>
          </w:p>
        </w:tc>
        <w:tc>
          <w:tcPr>
            <w:tcW w:w="3116" w:type="dxa"/>
            <w:vAlign w:val="top"/>
          </w:tcPr>
          <w:p>
            <w:pPr>
              <w:spacing w:before="40" w:after="40"/>
              <w:rPr>
                <w:sz w:val="18"/>
              </w:rPr>
            </w:pPr>
            <w:r>
              <w:rPr>
                <w:sz w:val="18"/>
                <w:szCs w:val="18"/>
              </w:rPr>
              <w:t xml:space="preserve">El Cap. 15 del Caso cita códigos RT que en las Bases Técnicas Transversales corresponden a requisitos distintos (ver §11). ¿Prevalece el código o la materia descrita?</w:t>
            </w:r>
          </w:p>
        </w:tc>
        <w:tc>
          <w:tcPr>
            <w:tcW w:w="3116" w:type="dxa"/>
            <w:vAlign w:val="top"/>
          </w:tcPr>
          <w:p>
            <w:pPr>
              <w:spacing w:before="40" w:after="40"/>
              <w:rPr>
                <w:sz w:val="18"/>
              </w:rPr>
            </w:pPr>
            <w:r>
              <w:rPr>
                <w:sz w:val="18"/>
                <w:szCs w:val="18"/>
              </w:rPr>
              <w:t xml:space="preserve">Afecta la trazabilidad de toda la sección</w:t>
            </w:r>
          </w:p>
        </w:tc>
      </w:tr>
    </w:tbl>
    <w:p>
      <w:pPr>
        <w:spacing w:before="0" w:after="100"/>
      </w:pPr>
    </w:p>
    <w:p>
      <w:pPr>
        <w:pBdr>
          <w:bottom w:val="single" w:sz="6" w:space="1" w:color="C8D2DE"/>
        </w:pBdr>
        <w:spacing w:before="160" w:after="160"/>
      </w:pPr>
    </w:p>
    <w:p>
      <w:pPr>
        <w:pStyle w:val="Heading1"/>
        <w:keepNext/>
        <w:spacing w:before="320" w:after="120"/>
      </w:pPr>
      <w:r>
        <w:t xml:space="preserve">9. Errores que este caso castiga y que D4 puede cometer</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Error</w:t>
            </w:r>
          </w:p>
        </w:tc>
        <w:tc>
          <w:tcPr>
            <w:tcW w:w="4675" w:type="dxa"/>
            <w:shd w:val="clear" w:fill="EDF2F8"/>
            <w:vAlign w:val="top"/>
          </w:tcPr>
          <w:p>
            <w:pPr>
              <w:spacing w:before="40" w:after="40"/>
              <w:rPr>
                <w:sz w:val="18"/>
              </w:rPr>
            </w:pPr>
            <w:r>
              <w:rPr>
                <w:b/>
                <w:sz w:val="18"/>
                <w:szCs w:val="18"/>
              </w:rPr>
              <w:t xml:space="preserve">Sanción declarada</w:t>
            </w:r>
          </w:p>
        </w:tc>
      </w:tr>
      <w:tr>
        <w:trPr>
          <w:cantSplit/>
        </w:trPr>
        <w:tc>
          <w:tcPr>
            <w:tcW w:w="4675" w:type="dxa"/>
            <w:vAlign w:val="top"/>
          </w:tcPr>
          <w:p>
            <w:pPr>
              <w:spacing w:before="40" w:after="40"/>
              <w:rPr>
                <w:sz w:val="18"/>
              </w:rPr>
            </w:pPr>
            <w:r>
              <w:rPr>
                <w:sz w:val="18"/>
                <w:szCs w:val="18"/>
              </w:rPr>
              <w:t xml:space="preserve">Solución exclusivamente en nube o exclusivamente on-premise</w:t>
            </w:r>
          </w:p>
        </w:tc>
        <w:tc>
          <w:tcPr>
            <w:tcW w:w="4675" w:type="dxa"/>
            <w:vAlign w:val="top"/>
          </w:tcPr>
          <w:p>
            <w:pPr>
              <w:spacing w:before="40" w:after="40"/>
              <w:rPr>
                <w:sz w:val="18"/>
              </w:rPr>
            </w:pPr>
            <w:r>
              <w:rPr>
                <w:sz w:val="18"/>
                <w:szCs w:val="18"/>
              </w:rPr>
              <w:t xml:space="preserve">Art. 16° BA</w:t>
            </w:r>
          </w:p>
        </w:tc>
      </w:tr>
      <w:tr>
        <w:trPr>
          <w:cantSplit/>
        </w:trPr>
        <w:tc>
          <w:tcPr>
            <w:tcW w:w="4675" w:type="dxa"/>
            <w:vAlign w:val="top"/>
          </w:tcPr>
          <w:p>
            <w:pPr>
              <w:spacing w:before="40" w:after="40"/>
              <w:rPr>
                <w:sz w:val="18"/>
              </w:rPr>
            </w:pPr>
            <w:r>
              <w:rPr>
                <w:sz w:val="18"/>
                <w:szCs w:val="18"/>
              </w:rPr>
              <w:t xml:space="preserve">Emplazar un componente sin justificar</w:t>
            </w:r>
          </w:p>
        </w:tc>
        <w:tc>
          <w:tcPr>
            <w:tcW w:w="4675" w:type="dxa"/>
            <w:vAlign w:val="top"/>
          </w:tcPr>
          <w:p>
            <w:pPr>
              <w:spacing w:before="40" w:after="40"/>
              <w:rPr>
                <w:sz w:val="18"/>
              </w:rPr>
            </w:pPr>
            <w:r>
              <w:rPr>
                <w:sz w:val="18"/>
                <w:szCs w:val="18"/>
              </w:rPr>
              <w:t xml:space="preserve">Art. 16.2 — </w:t>
            </w:r>
            <w:r>
              <w:rPr>
                <w:b/>
                <w:sz w:val="18"/>
                <w:szCs w:val="18"/>
              </w:rPr>
              <w:t xml:space="preserve">observación grave</w:t>
            </w:r>
          </w:p>
        </w:tc>
      </w:tr>
      <w:tr>
        <w:trPr>
          <w:cantSplit/>
        </w:trPr>
        <w:tc>
          <w:tcPr>
            <w:tcW w:w="4675" w:type="dxa"/>
            <w:vAlign w:val="top"/>
          </w:tcPr>
          <w:p>
            <w:pPr>
              <w:spacing w:before="40" w:after="40"/>
              <w:rPr>
                <w:sz w:val="18"/>
              </w:rPr>
            </w:pPr>
            <w:r>
              <w:rPr>
                <w:sz w:val="18"/>
                <w:szCs w:val="18"/>
              </w:rPr>
              <w:t xml:space="preserve">Sobredimensionar el recinto</w:t>
            </w:r>
          </w:p>
        </w:tc>
        <w:tc>
          <w:tcPr>
            <w:tcW w:w="4675" w:type="dxa"/>
            <w:vAlign w:val="top"/>
          </w:tcPr>
          <w:p>
            <w:pPr>
              <w:spacing w:before="40" w:after="40"/>
              <w:rPr>
                <w:sz w:val="18"/>
              </w:rPr>
            </w:pPr>
            <w:r>
              <w:rPr>
                <w:sz w:val="18"/>
                <w:szCs w:val="18"/>
              </w:rPr>
              <w:t xml:space="preserve">Numeral 6.1 — igual que subdimensionar</w:t>
            </w:r>
          </w:p>
        </w:tc>
      </w:tr>
      <w:tr>
        <w:trPr>
          <w:cantSplit/>
        </w:trPr>
        <w:tc>
          <w:tcPr>
            <w:tcW w:w="4675" w:type="dxa"/>
            <w:vAlign w:val="top"/>
          </w:tcPr>
          <w:p>
            <w:pPr>
              <w:spacing w:before="40" w:after="40"/>
              <w:rPr>
                <w:sz w:val="18"/>
              </w:rPr>
            </w:pPr>
            <w:r>
              <w:rPr>
                <w:sz w:val="18"/>
                <w:szCs w:val="18"/>
              </w:rPr>
              <w:t xml:space="preserve">Suponer la cobertura móvil en vez de medirla</w:t>
            </w:r>
          </w:p>
        </w:tc>
        <w:tc>
          <w:tcPr>
            <w:tcW w:w="4675" w:type="dxa"/>
            <w:vAlign w:val="top"/>
          </w:tcPr>
          <w:p>
            <w:pPr>
              <w:spacing w:before="40" w:after="40"/>
              <w:rPr>
                <w:sz w:val="18"/>
              </w:rPr>
            </w:pPr>
            <w:r>
              <w:rPr>
                <w:sz w:val="18"/>
                <w:szCs w:val="18"/>
              </w:rPr>
              <w:t xml:space="preserve">RT-03.24 del Caso</w:t>
            </w:r>
          </w:p>
        </w:tc>
      </w:tr>
      <w:tr>
        <w:trPr>
          <w:cantSplit/>
        </w:trPr>
        <w:tc>
          <w:tcPr>
            <w:tcW w:w="4675" w:type="dxa"/>
            <w:vAlign w:val="top"/>
          </w:tcPr>
          <w:p>
            <w:pPr>
              <w:spacing w:before="40" w:after="40"/>
              <w:rPr>
                <w:sz w:val="18"/>
              </w:rPr>
            </w:pPr>
            <w:r>
              <w:rPr>
                <w:sz w:val="18"/>
                <w:szCs w:val="18"/>
              </w:rPr>
              <w:t xml:space="preserve">«Instalar un dispositivo en toda la flota» sin explicar quién se lo pide a 148 dueños</w:t>
            </w:r>
          </w:p>
        </w:tc>
        <w:tc>
          <w:tcPr>
            <w:tcW w:w="4675" w:type="dxa"/>
            <w:vAlign w:val="top"/>
          </w:tcPr>
          <w:p>
            <w:pPr>
              <w:spacing w:before="40" w:after="40"/>
              <w:rPr>
                <w:sz w:val="18"/>
              </w:rPr>
            </w:pPr>
            <w:r>
              <w:rPr>
                <w:sz w:val="18"/>
                <w:szCs w:val="18"/>
              </w:rPr>
              <w:t xml:space="preserve">Cap. 19 — «será superado por una propuesta más modesta que traiga esa conversación resuelta»</w:t>
            </w:r>
          </w:p>
        </w:tc>
      </w:tr>
      <w:tr>
        <w:trPr>
          <w:cantSplit/>
        </w:trPr>
        <w:tc>
          <w:tcPr>
            <w:tcW w:w="4675" w:type="dxa"/>
            <w:vAlign w:val="top"/>
          </w:tcPr>
          <w:p>
            <w:pPr>
              <w:spacing w:before="40" w:after="40"/>
              <w:rPr>
                <w:sz w:val="18"/>
              </w:rPr>
            </w:pPr>
            <w:r>
              <w:rPr>
                <w:sz w:val="18"/>
                <w:szCs w:val="18"/>
              </w:rPr>
              <w:t xml:space="preserve">Un diagrama de referencia con el nombre cambiado</w:t>
            </w:r>
          </w:p>
        </w:tc>
        <w:tc>
          <w:tcPr>
            <w:tcW w:w="4675" w:type="dxa"/>
            <w:vAlign w:val="top"/>
          </w:tcPr>
          <w:p>
            <w:pPr>
              <w:spacing w:before="40" w:after="40"/>
              <w:rPr>
                <w:sz w:val="18"/>
              </w:rPr>
            </w:pPr>
            <w:r>
              <w:rPr>
                <w:sz w:val="18"/>
                <w:szCs w:val="18"/>
              </w:rPr>
              <w:t xml:space="preserve">Cap. 19</w:t>
            </w:r>
          </w:p>
        </w:tc>
      </w:tr>
      <w:tr>
        <w:trPr>
          <w:cantSplit/>
        </w:trPr>
        <w:tc>
          <w:tcPr>
            <w:tcW w:w="4675" w:type="dxa"/>
            <w:vAlign w:val="top"/>
          </w:tcPr>
          <w:p>
            <w:pPr>
              <w:spacing w:before="40" w:after="40"/>
              <w:rPr>
                <w:sz w:val="18"/>
              </w:rPr>
            </w:pPr>
            <w:r>
              <w:rPr>
                <w:sz w:val="18"/>
                <w:szCs w:val="18"/>
              </w:rPr>
              <w:t xml:space="preserve">Microservicios sin volumen que lo justifique</w:t>
            </w:r>
          </w:p>
        </w:tc>
        <w:tc>
          <w:tcPr>
            <w:tcW w:w="4675" w:type="dxa"/>
            <w:vAlign w:val="top"/>
          </w:tcPr>
          <w:p>
            <w:pPr>
              <w:spacing w:before="40" w:after="40"/>
              <w:rPr>
                <w:sz w:val="18"/>
              </w:rPr>
            </w:pPr>
            <w:r>
              <w:rPr>
                <w:sz w:val="18"/>
                <w:szCs w:val="18"/>
              </w:rPr>
              <w:t xml:space="preserve">Numeral 2.3 — «error de ingeniería»</w:t>
            </w:r>
          </w:p>
        </w:tc>
      </w:tr>
      <w:tr>
        <w:trPr>
          <w:cantSplit/>
        </w:trPr>
        <w:tc>
          <w:tcPr>
            <w:tcW w:w="4675" w:type="dxa"/>
            <w:vAlign w:val="top"/>
          </w:tcPr>
          <w:p>
            <w:pPr>
              <w:spacing w:before="40" w:after="40"/>
              <w:rPr>
                <w:sz w:val="18"/>
              </w:rPr>
            </w:pPr>
            <w:r>
              <w:rPr>
                <w:sz w:val="18"/>
                <w:szCs w:val="18"/>
              </w:rPr>
              <w:t xml:space="preserve">Declarar «cumple» sin individualizar componente</w:t>
            </w:r>
          </w:p>
        </w:tc>
        <w:tc>
          <w:tcPr>
            <w:tcW w:w="4675" w:type="dxa"/>
            <w:vAlign w:val="top"/>
          </w:tcPr>
          <w:p>
            <w:pPr>
              <w:spacing w:before="40" w:after="40"/>
              <w:rPr>
                <w:sz w:val="18"/>
              </w:rPr>
            </w:pPr>
            <w:r>
              <w:rPr>
                <w:sz w:val="18"/>
                <w:szCs w:val="18"/>
              </w:rPr>
              <w:t xml:space="preserve">Numeral 1.5 — «equivale a no declarar»</w:t>
            </w:r>
          </w:p>
        </w:tc>
      </w:tr>
      <w:tr>
        <w:trPr>
          <w:cantSplit/>
        </w:trPr>
        <w:tc>
          <w:tcPr>
            <w:tcW w:w="4675" w:type="dxa"/>
            <w:vAlign w:val="top"/>
          </w:tcPr>
          <w:p>
            <w:pPr>
              <w:spacing w:before="40" w:after="40"/>
              <w:rPr>
                <w:sz w:val="18"/>
              </w:rPr>
            </w:pPr>
            <w:r>
              <w:rPr>
                <w:sz w:val="18"/>
                <w:szCs w:val="18"/>
              </w:rPr>
              <w:t xml:space="preserve">Cifras en pesos en el informe técnico</w:t>
            </w:r>
          </w:p>
        </w:tc>
        <w:tc>
          <w:tcPr>
            <w:tcW w:w="4675" w:type="dxa"/>
            <w:vAlign w:val="top"/>
          </w:tcPr>
          <w:p>
            <w:pPr>
              <w:spacing w:before="40" w:after="40"/>
              <w:rPr>
                <w:sz w:val="18"/>
              </w:rPr>
            </w:pPr>
            <w:r>
              <w:rPr>
                <w:sz w:val="18"/>
                <w:szCs w:val="18"/>
              </w:rPr>
              <w:t xml:space="preserve">Art. 50.2 — </w:t>
            </w:r>
            <w:r>
              <w:rPr>
                <w:b/>
                <w:sz w:val="18"/>
                <w:szCs w:val="18"/>
              </w:rPr>
              <w:t xml:space="preserve">exclusión</w:t>
            </w:r>
          </w:p>
        </w:tc>
      </w:tr>
      <w:tr>
        <w:trPr>
          <w:cantSplit/>
        </w:trPr>
        <w:tc>
          <w:tcPr>
            <w:tcW w:w="4675" w:type="dxa"/>
            <w:vAlign w:val="top"/>
          </w:tcPr>
          <w:p>
            <w:pPr>
              <w:spacing w:before="40" w:after="40"/>
              <w:rPr>
                <w:sz w:val="18"/>
              </w:rPr>
            </w:pPr>
            <w:r>
              <w:rPr>
                <w:sz w:val="18"/>
                <w:szCs w:val="18"/>
              </w:rPr>
              <w:t xml:space="preserve">No declarar qué funciones NO estarán disponibles en modo desconectado</w:t>
            </w:r>
          </w:p>
        </w:tc>
        <w:tc>
          <w:tcPr>
            <w:tcW w:w="4675" w:type="dxa"/>
            <w:vAlign w:val="top"/>
          </w:tcPr>
          <w:p>
            <w:pPr>
              <w:spacing w:before="40" w:after="40"/>
              <w:rPr>
                <w:sz w:val="18"/>
              </w:rPr>
            </w:pPr>
            <w:r>
              <w:rPr>
                <w:b/>
                <w:sz w:val="18"/>
                <w:szCs w:val="18"/>
              </w:rPr>
              <w:t xml:space="preserve">RT-03.13 — observación grave</w:t>
            </w:r>
          </w:p>
        </w:tc>
      </w:tr>
    </w:tbl>
    <w:p>
      <w:pPr>
        <w:spacing w:before="0" w:after="100"/>
      </w:pPr>
    </w:p>
    <w:p>
      <w:pPr>
        <w:shd w:val="clear" w:fill="F4F7FB"/>
        <w:pBdr>
          <w:left w:val="single" w:sz="18" w:space="8" w:color="9CC3F5"/>
        </w:pBdr>
        <w:ind w:left="200"/>
        <w:spacing w:before="100" w:after="140"/>
      </w:pPr>
      <w:r>
        <w:rPr>
          <w:b/>
          <w:sz w:val="21"/>
          <w:szCs w:val="21"/>
        </w:rPr>
        <w:t xml:space="preserve">RT-03.13 merece atención especial de D4</w:t>
      </w:r>
      <w:r>
        <w:rPr>
          <w:sz w:val="21"/>
          <w:szCs w:val="21"/>
        </w:rPr>
        <w:t xml:space="preserve"> (pág. 9/51): «El PROPONENTE declarará qué funciones </w:t>
      </w:r>
      <w:r>
        <w:rPr>
          <w:b/>
          <w:sz w:val="21"/>
          <w:szCs w:val="21"/>
        </w:rPr>
        <w:t xml:space="preserve">NO</w:t>
      </w:r>
      <w:r>
        <w:rPr>
          <w:sz w:val="21"/>
          <w:szCs w:val="21"/>
        </w:rPr>
        <w:t xml:space="preserve"> estarán disponibles en modo desconectado y qué procedimiento manual las suple. La ausencia de esta declaración se evaluará como </w:t>
      </w:r>
      <w:r>
        <w:rPr>
          <w:b/>
          <w:sz w:val="21"/>
          <w:szCs w:val="21"/>
        </w:rPr>
        <w:t xml:space="preserve">observación grave</w:t>
      </w:r>
      <w:r>
        <w:rPr>
          <w:sz w:val="21"/>
          <w:szCs w:val="21"/>
        </w:rPr>
        <w:t xml:space="preserve">.» Es una tabla que nadie ha escrito todavía y que es nuestra.</w:t>
      </w:r>
    </w:p>
    <w:p>
      <w:pPr>
        <w:pBdr>
          <w:bottom w:val="single" w:sz="6" w:space="1" w:color="C8D2DE"/>
        </w:pBdr>
        <w:spacing w:before="160" w:after="160"/>
      </w:pPr>
    </w:p>
    <w:p>
      <w:pPr>
        <w:pStyle w:val="Heading1"/>
        <w:keepNext/>
        <w:spacing w:before="320" w:after="120"/>
      </w:pPr>
      <w:r>
        <w:t xml:space="preserve">10. ⛔ ANEXO ECONÓMICO — NO VA AL INFORME 1</w:t>
      </w:r>
    </w:p>
    <w:p>
      <w:pPr>
        <w:shd w:val="clear" w:fill="F4F7FB"/>
        <w:pBdr>
          <w:left w:val="single" w:sz="18" w:space="8" w:color="9CC3F5"/>
        </w:pBdr>
        <w:ind w:left="200"/>
        <w:spacing w:before="100" w:after="140"/>
      </w:pPr>
      <w:r>
        <w:rPr>
          <w:b/>
          <w:sz w:val="21"/>
          <w:szCs w:val="21"/>
        </w:rPr>
        <w:t xml:space="preserve">Art. 50.2 de las Bases Administrativas: la Oferta Técnica no puede contener cifras de precio ni nada que permita inferir el monto de la oferta económica, bajo causal de exclusión.</w:t>
      </w:r>
      <w:r>
        <w:rPr>
          <w:sz w:val="21"/>
          <w:szCs w:val="21"/>
        </w:rPr>
        <w:t xml:space="preserve"> Todo lo que sigue es insumo para el </w:t>
      </w:r>
      <w:r>
        <w:rPr>
          <w:b/>
          <w:sz w:val="21"/>
          <w:szCs w:val="21"/>
        </w:rPr>
        <w:t xml:space="preserve">Informe 3 / Sobre N.º 3</w:t>
      </w:r>
      <w:r>
        <w:rPr>
          <w:sz w:val="21"/>
          <w:szCs w:val="21"/>
        </w:rPr>
        <w:t xml:space="preserve">. No se copia al Informe 1.</w:t>
      </w:r>
    </w:p>
    <w:p>
      <w:pPr>
        <w:pStyle w:val="Heading2"/>
        <w:keepNext/>
        <w:spacing w:before="260" w:after="100"/>
      </w:pPr>
      <w:r>
        <w:t xml:space="preserve">10.1 Advertencia sobre las cifras</w:t>
      </w:r>
    </w:p>
    <w:p>
      <w:pPr>
        <w:spacing w:before="0" w:after="140" w:line="264" w:lineRule="auto"/>
      </w:pPr>
      <w:r>
        <w:rPr>
          <w:b/>
        </w:rPr>
        <w:t xml:space="preserve">No incluyo precios en pesos ni en dólares porque no los verifiqué</w:t>
      </w:r>
      <w:r>
        <w:t xml:space="preserve">, y fabricarlos sería peor que no tenerlos. Los precios de telemática industrial en Chile son por cotización y varían por volumen, por distribuidor y por si el equipo va con o sin plan de datos. Lo que entrego es el </w:t>
      </w:r>
      <w:r>
        <w:rPr>
          <w:b/>
        </w:rPr>
        <w:t xml:space="preserve">modelo de costo</w:t>
      </w:r>
      <w:r>
        <w:t xml:space="preserve">: qué hay que cotizar, en qué unidad, y qué mueve la aguja.</w:t>
      </w:r>
    </w:p>
    <w:p>
      <w:pPr>
        <w:pStyle w:val="Heading2"/>
        <w:keepNext/>
        <w:spacing w:before="260" w:after="100"/>
      </w:pPr>
      <w:r>
        <w:t xml:space="preserve">10.2 Estructura de costo del equipamiento de terreno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Ítem</w:t>
            </w:r>
          </w:p>
        </w:tc>
        <w:tc>
          <w:tcPr>
            <w:tcW w:w="2337" w:type="dxa"/>
            <w:shd w:val="clear" w:fill="EDF2F8"/>
            <w:vAlign w:val="top"/>
          </w:tcPr>
          <w:p>
            <w:pPr>
              <w:spacing w:before="40" w:after="40"/>
              <w:rPr>
                <w:sz w:val="18"/>
              </w:rPr>
            </w:pPr>
            <w:r>
              <w:rPr>
                <w:b/>
                <w:sz w:val="18"/>
                <w:szCs w:val="18"/>
              </w:rPr>
              <w:t xml:space="preserve">Unidad de costo</w:t>
            </w:r>
          </w:p>
        </w:tc>
        <w:tc>
          <w:tcPr>
            <w:tcW w:w="2337" w:type="dxa"/>
            <w:shd w:val="clear" w:fill="EDF2F8"/>
            <w:vAlign w:val="top"/>
          </w:tcPr>
          <w:p>
            <w:pPr>
              <w:spacing w:before="40" w:after="40"/>
              <w:rPr>
                <w:sz w:val="18"/>
              </w:rPr>
            </w:pPr>
            <w:r>
              <w:rPr>
                <w:b/>
                <w:sz w:val="18"/>
                <w:szCs w:val="18"/>
              </w:rPr>
              <w:t xml:space="preserve">Cantidad</w:t>
            </w:r>
          </w:p>
        </w:tc>
        <w:tc>
          <w:tcPr>
            <w:tcW w:w="2337" w:type="dxa"/>
            <w:shd w:val="clear" w:fill="EDF2F8"/>
            <w:vAlign w:val="top"/>
          </w:tcPr>
          <w:p>
            <w:pPr>
              <w:spacing w:before="40" w:after="40"/>
              <w:rPr>
                <w:sz w:val="18"/>
              </w:rPr>
            </w:pPr>
            <w:r>
              <w:rPr>
                <w:b/>
                <w:sz w:val="18"/>
                <w:szCs w:val="18"/>
              </w:rPr>
              <w:t xml:space="preserve">Notas</w:t>
            </w:r>
          </w:p>
        </w:tc>
      </w:tr>
      <w:tr>
        <w:trPr>
          <w:cantSplit/>
        </w:trPr>
        <w:tc>
          <w:tcPr>
            <w:tcW w:w="2337" w:type="dxa"/>
            <w:vAlign w:val="top"/>
          </w:tcPr>
          <w:p>
            <w:pPr>
              <w:spacing w:before="40" w:after="40"/>
              <w:rPr>
                <w:sz w:val="18"/>
              </w:rPr>
            </w:pPr>
            <w:r>
              <w:rPr>
                <w:sz w:val="18"/>
                <w:szCs w:val="18"/>
              </w:rPr>
              <w:t xml:space="preserve">Unidad telemática</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148 propios + 34 sin dispositivo + los de terceros que adhieran</w:t>
            </w:r>
          </w:p>
        </w:tc>
        <w:tc>
          <w:tcPr>
            <w:tcW w:w="2337" w:type="dxa"/>
            <w:vAlign w:val="top"/>
          </w:tcPr>
          <w:p>
            <w:pPr>
              <w:spacing w:before="40" w:after="40"/>
              <w:rPr>
                <w:sz w:val="18"/>
              </w:rPr>
            </w:pPr>
            <w:r>
              <w:rPr>
                <w:sz w:val="18"/>
                <w:szCs w:val="18"/>
              </w:rPr>
              <w:t xml:space="preserve">RT-08.10 pide costo unitario estimado</w:t>
            </w:r>
          </w:p>
        </w:tc>
      </w:tr>
      <w:tr>
        <w:trPr>
          <w:cantSplit/>
        </w:trPr>
        <w:tc>
          <w:tcPr>
            <w:tcW w:w="2337" w:type="dxa"/>
            <w:vAlign w:val="top"/>
          </w:tcPr>
          <w:p>
            <w:pPr>
              <w:spacing w:before="40" w:after="40"/>
              <w:rPr>
                <w:sz w:val="18"/>
              </w:rPr>
            </w:pPr>
            <w:r>
              <w:rPr>
                <w:sz w:val="18"/>
                <w:szCs w:val="18"/>
              </w:rPr>
              <w:t xml:space="preserve">Módulo satelital SBD</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Solo población de capa 2 — </w:t>
            </w:r>
            <w:r>
              <w:rPr>
                <w:b/>
                <w:sz w:val="18"/>
                <w:szCs w:val="18"/>
              </w:rPr>
              <w:t xml:space="preserve">no dimensionable hasta la campaña</w:t>
            </w:r>
          </w:p>
        </w:tc>
        <w:tc>
          <w:tcPr>
            <w:tcW w:w="2337" w:type="dxa"/>
            <w:vAlign w:val="top"/>
          </w:tcPr>
          <w:p>
            <w:pPr>
              <w:spacing w:before="40" w:after="40"/>
              <w:rPr>
                <w:sz w:val="18"/>
              </w:rPr>
            </w:pPr>
          </w:p>
        </w:tc>
      </w:tr>
      <w:tr>
        <w:trPr>
          <w:cantSplit/>
        </w:trPr>
        <w:tc>
          <w:tcPr>
            <w:tcW w:w="2337" w:type="dxa"/>
            <w:vAlign w:val="top"/>
          </w:tcPr>
          <w:p>
            <w:pPr>
              <w:spacing w:before="40" w:after="40"/>
              <w:rPr>
                <w:sz w:val="18"/>
              </w:rPr>
            </w:pPr>
            <w:r>
              <w:rPr>
                <w:sz w:val="18"/>
                <w:szCs w:val="18"/>
              </w:rPr>
              <w:t xml:space="preserve">Cable adaptador</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1 por unidad satelital</w:t>
            </w:r>
          </w:p>
        </w:tc>
        <w:tc>
          <w:tcPr>
            <w:tcW w:w="2337" w:type="dxa"/>
            <w:vAlign w:val="top"/>
          </w:tcPr>
          <w:p>
            <w:pPr>
              <w:spacing w:before="40" w:after="40"/>
              <w:rPr>
                <w:sz w:val="18"/>
              </w:rPr>
            </w:pPr>
            <w:r>
              <w:rPr>
                <w:sz w:val="18"/>
                <w:szCs w:val="18"/>
              </w:rPr>
              <w:t xml:space="preserve">El LINK 740 lo requiere; el 710 conecta directo</w:t>
            </w:r>
          </w:p>
        </w:tc>
      </w:tr>
      <w:tr>
        <w:trPr>
          <w:cantSplit/>
        </w:trPr>
        <w:tc>
          <w:tcPr>
            <w:tcW w:w="2337" w:type="dxa"/>
            <w:vAlign w:val="top"/>
          </w:tcPr>
          <w:p>
            <w:pPr>
              <w:spacing w:before="40" w:after="40"/>
              <w:rPr>
                <w:sz w:val="18"/>
              </w:rPr>
            </w:pPr>
            <w:r>
              <w:rPr>
                <w:sz w:val="18"/>
                <w:szCs w:val="18"/>
              </w:rPr>
              <w:t xml:space="preserve">microSD industrial ≥8 GB</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1 por unidad</w:t>
            </w:r>
          </w:p>
        </w:tc>
        <w:tc>
          <w:tcPr>
            <w:tcW w:w="2337" w:type="dxa"/>
            <w:vAlign w:val="top"/>
          </w:tcPr>
          <w:p>
            <w:pPr>
              <w:spacing w:before="40" w:after="40"/>
              <w:rPr>
                <w:sz w:val="18"/>
              </w:rPr>
            </w:pPr>
            <w:r>
              <w:rPr>
                <w:sz w:val="18"/>
                <w:szCs w:val="18"/>
              </w:rPr>
              <w:t xml:space="preserve">Rango térmico industrial, no de consumo</w:t>
            </w:r>
          </w:p>
        </w:tc>
      </w:tr>
      <w:tr>
        <w:trPr>
          <w:cantSplit/>
        </w:trPr>
        <w:tc>
          <w:tcPr>
            <w:tcW w:w="2337" w:type="dxa"/>
            <w:vAlign w:val="top"/>
          </w:tcPr>
          <w:p>
            <w:pPr>
              <w:spacing w:before="40" w:after="40"/>
              <w:rPr>
                <w:sz w:val="18"/>
              </w:rPr>
            </w:pPr>
            <w:r>
              <w:rPr>
                <w:sz w:val="18"/>
                <w:szCs w:val="18"/>
              </w:rPr>
              <w:t xml:space="preserve">Lector NFC / identificación</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1 por unidad</w:t>
            </w:r>
          </w:p>
        </w:tc>
        <w:tc>
          <w:tcPr>
            <w:tcW w:w="2337" w:type="dxa"/>
            <w:vAlign w:val="top"/>
          </w:tcPr>
          <w:p>
            <w:pPr>
              <w:spacing w:before="40" w:after="40"/>
              <w:rPr>
                <w:sz w:val="18"/>
              </w:rPr>
            </w:pPr>
          </w:p>
        </w:tc>
      </w:tr>
      <w:tr>
        <w:trPr>
          <w:cantSplit/>
        </w:trPr>
        <w:tc>
          <w:tcPr>
            <w:tcW w:w="2337" w:type="dxa"/>
            <w:vAlign w:val="top"/>
          </w:tcPr>
          <w:p>
            <w:pPr>
              <w:spacing w:before="40" w:after="40"/>
              <w:rPr>
                <w:sz w:val="18"/>
              </w:rPr>
            </w:pPr>
            <w:r>
              <w:rPr>
                <w:sz w:val="18"/>
                <w:szCs w:val="18"/>
              </w:rPr>
              <w:t xml:space="preserve">Arnés e instalación</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1 por unidad</w:t>
            </w:r>
          </w:p>
        </w:tc>
        <w:tc>
          <w:tcPr>
            <w:tcW w:w="2337" w:type="dxa"/>
            <w:vAlign w:val="top"/>
          </w:tcPr>
          <w:p>
            <w:pPr>
              <w:spacing w:before="40" w:after="40"/>
              <w:rPr>
                <w:sz w:val="18"/>
              </w:rPr>
            </w:pPr>
            <w:r>
              <w:rPr>
                <w:sz w:val="18"/>
                <w:szCs w:val="18"/>
              </w:rPr>
              <w:t xml:space="preserve">Mano de obra en terminal</w:t>
            </w:r>
          </w:p>
        </w:tc>
      </w:tr>
      <w:tr>
        <w:trPr>
          <w:cantSplit/>
        </w:trPr>
        <w:tc>
          <w:tcPr>
            <w:tcW w:w="2337" w:type="dxa"/>
            <w:vAlign w:val="top"/>
          </w:tcPr>
          <w:p>
            <w:pPr>
              <w:spacing w:before="40" w:after="40"/>
              <w:rPr>
                <w:sz w:val="18"/>
              </w:rPr>
            </w:pPr>
            <w:r>
              <w:rPr>
                <w:b/>
                <w:sz w:val="18"/>
                <w:szCs w:val="18"/>
              </w:rPr>
              <w:t xml:space="preserve">Stock de repuestos</w:t>
            </w:r>
          </w:p>
        </w:tc>
        <w:tc>
          <w:tcPr>
            <w:tcW w:w="2337" w:type="dxa"/>
            <w:vAlign w:val="top"/>
          </w:tcPr>
          <w:p>
            <w:pPr>
              <w:spacing w:before="40" w:after="40"/>
              <w:rPr>
                <w:sz w:val="18"/>
              </w:rPr>
            </w:pPr>
            <w:r>
              <w:rPr>
                <w:b/>
                <w:sz w:val="18"/>
                <w:szCs w:val="18"/>
              </w:rPr>
              <w:t xml:space="preserve">10 % del parque instalado</w:t>
            </w:r>
            <w:r>
              <w:rPr>
                <w:sz w:val="18"/>
                <w:szCs w:val="18"/>
              </w:rPr>
              <w:t xml:space="preserve">, con configuración precargada</w:t>
            </w:r>
          </w:p>
        </w:tc>
        <w:tc>
          <w:tcPr>
            <w:tcW w:w="2337" w:type="dxa"/>
            <w:vAlign w:val="top"/>
          </w:tcPr>
          <w:p>
            <w:pPr>
              <w:spacing w:before="40" w:after="40"/>
              <w:rPr>
                <w:sz w:val="18"/>
              </w:rPr>
            </w:pPr>
            <w:r>
              <w:rPr>
                <w:sz w:val="18"/>
                <w:szCs w:val="18"/>
              </w:rPr>
              <w:t xml:space="preserve">Numeral 8.4, pág. 20/51</w:t>
            </w:r>
          </w:p>
        </w:tc>
        <w:tc>
          <w:tcPr>
            <w:tcW w:w="2337" w:type="dxa"/>
            <w:vAlign w:val="top"/>
          </w:tcPr>
          <w:p>
            <w:pPr>
              <w:spacing w:before="40" w:after="40"/>
              <w:rPr>
                <w:sz w:val="18"/>
              </w:rPr>
            </w:pPr>
            <w:r>
              <w:rPr>
                <w:sz w:val="18"/>
                <w:szCs w:val="18"/>
              </w:rPr>
              <w:t xml:space="preserve">Obligatorio</w:t>
            </w:r>
          </w:p>
        </w:tc>
      </w:tr>
      <w:tr>
        <w:trPr>
          <w:cantSplit/>
        </w:trPr>
        <w:tc>
          <w:tcPr>
            <w:tcW w:w="2337" w:type="dxa"/>
            <w:vAlign w:val="top"/>
          </w:tcPr>
          <w:p>
            <w:pPr>
              <w:spacing w:before="40" w:after="40"/>
              <w:rPr>
                <w:sz w:val="18"/>
              </w:rPr>
            </w:pPr>
            <w:r>
              <w:rPr>
                <w:sz w:val="18"/>
                <w:szCs w:val="18"/>
              </w:rPr>
              <w:t xml:space="preserve">Tacógrafo digital</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Solo los que adhieran y no lo tengan — </w:t>
            </w:r>
            <w:r>
              <w:rPr>
                <w:b/>
                <w:sz w:val="18"/>
                <w:szCs w:val="18"/>
              </w:rPr>
              <w:t xml:space="preserve">cantidad desconocida, ver C-08</w:t>
            </w:r>
          </w:p>
        </w:tc>
        <w:tc>
          <w:tcPr>
            <w:tcW w:w="2337" w:type="dxa"/>
            <w:vAlign w:val="top"/>
          </w:tcPr>
          <w:p>
            <w:pPr>
              <w:spacing w:before="40" w:after="40"/>
              <w:rPr>
                <w:sz w:val="18"/>
              </w:rPr>
            </w:pPr>
          </w:p>
        </w:tc>
      </w:tr>
      <w:tr>
        <w:trPr>
          <w:cantSplit/>
        </w:trPr>
        <w:tc>
          <w:tcPr>
            <w:tcW w:w="2337" w:type="dxa"/>
            <w:vAlign w:val="top"/>
          </w:tcPr>
          <w:p>
            <w:pPr>
              <w:spacing w:before="40" w:after="40"/>
              <w:rPr>
                <w:sz w:val="18"/>
              </w:rPr>
            </w:pPr>
            <w:r>
              <w:rPr>
                <w:sz w:val="18"/>
                <w:szCs w:val="18"/>
              </w:rPr>
              <w:t xml:space="preserve">Lectora de tarjeta de empresa</w:t>
            </w:r>
          </w:p>
        </w:tc>
        <w:tc>
          <w:tcPr>
            <w:tcW w:w="2337" w:type="dxa"/>
            <w:vAlign w:val="top"/>
          </w:tcPr>
          <w:p>
            <w:pPr>
              <w:spacing w:before="40" w:after="40"/>
              <w:rPr>
                <w:sz w:val="18"/>
              </w:rPr>
            </w:pPr>
            <w:r>
              <w:rPr>
                <w:sz w:val="18"/>
                <w:szCs w:val="18"/>
              </w:rPr>
              <w:t xml:space="preserve">Por unidad</w:t>
            </w:r>
          </w:p>
        </w:tc>
        <w:tc>
          <w:tcPr>
            <w:tcW w:w="2337" w:type="dxa"/>
            <w:vAlign w:val="top"/>
          </w:tcPr>
          <w:p>
            <w:pPr>
              <w:spacing w:before="40" w:after="40"/>
              <w:rPr>
                <w:sz w:val="18"/>
              </w:rPr>
            </w:pPr>
            <w:r>
              <w:rPr>
                <w:sz w:val="18"/>
                <w:szCs w:val="18"/>
              </w:rPr>
              <w:t xml:space="preserve">Central</w:t>
            </w:r>
          </w:p>
        </w:tc>
        <w:tc>
          <w:tcPr>
            <w:tcW w:w="2337" w:type="dxa"/>
            <w:vAlign w:val="top"/>
          </w:tcPr>
          <w:p>
            <w:pPr>
              <w:spacing w:before="40" w:after="40"/>
              <w:rPr>
                <w:sz w:val="18"/>
              </w:rPr>
            </w:pPr>
            <w:r>
              <w:rPr>
                <w:sz w:val="18"/>
                <w:szCs w:val="18"/>
              </w:rPr>
              <w:t xml:space="preserve">Habilita la descarga remota</w:t>
            </w:r>
          </w:p>
        </w:tc>
      </w:tr>
    </w:tbl>
    <w:p>
      <w:pPr>
        <w:spacing w:before="0" w:after="100"/>
      </w:pPr>
    </w:p>
    <w:p>
      <w:pPr>
        <w:spacing w:before="0" w:after="140" w:line="264" w:lineRule="auto"/>
      </w:pPr>
      <w:r>
        <w:rPr>
          <w:b/>
        </w:rPr>
        <w:t xml:space="preserve">Dónde cotizar</w:t>
      </w:r>
      <w:r>
        <w:t xml:space="preserve"> (no verifiqué stock ni condiciones en Chile):</w:t>
      </w:r>
    </w:p>
    <w:p>
      <w:pPr>
        <w:ind w:left="340"/>
        <w:spacing w:before="20" w:after="60"/>
      </w:pPr>
      <w:r>
        <w:t xml:space="preserve">•  </w:t>
      </w:r>
      <w:r>
        <w:t xml:space="preserve">Teltonika Telematics — red de distribuidores por país: </w:t>
      </w:r>
      <w:r>
        <w:rPr>
          <w:rFonts w:ascii="Consolas" w:hAnsi="Consolas"/>
          <w:color w:val="5B21B6"/>
          <w:sz w:val="20"/>
          <w:szCs w:val="20"/>
          <w:shd w:val="clear" w:fill="F1F4F8"/>
        </w:rPr>
        <w:t xml:space="preserve">teltonika-gps.com</w:t>
      </w:r>
    </w:p>
    <w:p>
      <w:pPr>
        <w:ind w:left="340"/>
        <w:spacing w:before="20" w:after="60"/>
      </w:pPr>
      <w:r>
        <w:t xml:space="preserve">•  </w:t>
      </w:r>
      <w:r>
        <w:t xml:space="preserve">Iridium Edge — distribuidores: Ground Control, AST Networks, Satellite Phone Store</w:t>
      </w:r>
    </w:p>
    <w:p>
      <w:pPr>
        <w:ind w:left="340"/>
        <w:spacing w:before="20" w:after="60"/>
      </w:pPr>
      <w:r>
        <w:t xml:space="preserve">•  </w:t>
      </w:r>
      <w:r>
        <w:t xml:space="preserve">Webfleet — canal directo y partners en Chile: </w:t>
      </w:r>
      <w:r>
        <w:rPr>
          <w:rFonts w:ascii="Consolas" w:hAnsi="Consolas"/>
          <w:color w:val="5B21B6"/>
          <w:sz w:val="20"/>
          <w:szCs w:val="20"/>
          <w:shd w:val="clear" w:fill="F1F4F8"/>
        </w:rPr>
        <w:t xml:space="preserve">webfleet.com/es_cl</w:t>
      </w:r>
    </w:p>
    <w:p>
      <w:pPr>
        <w:pStyle w:val="Heading2"/>
        <w:keepNext/>
        <w:spacing w:before="260" w:after="100"/>
      </w:pPr>
      <w:r>
        <w:t xml:space="preserve">10.3 Costos recurrentes — los que pesan a 36 meses</w:t>
      </w:r>
    </w:p>
    <w:p>
      <w:pPr>
        <w:spacing w:before="0" w:after="140" w:line="264" w:lineRule="auto"/>
      </w:pPr>
      <w:r>
        <w:t xml:space="preserve">La restricción 14 obliga a evaluar la propuesta económica «con especial atención al costo de operar 36 meses» sobre un margen operacional de 9 %.</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Concepto</w:t>
            </w:r>
          </w:p>
        </w:tc>
        <w:tc>
          <w:tcPr>
            <w:tcW w:w="3116" w:type="dxa"/>
            <w:shd w:val="clear" w:fill="EDF2F8"/>
            <w:vAlign w:val="top"/>
          </w:tcPr>
          <w:p>
            <w:pPr>
              <w:spacing w:before="40" w:after="40"/>
              <w:rPr>
                <w:sz w:val="18"/>
              </w:rPr>
            </w:pPr>
            <w:r>
              <w:rPr>
                <w:b/>
                <w:sz w:val="18"/>
                <w:szCs w:val="18"/>
              </w:rPr>
              <w:t xml:space="preserve">Unidad</w:t>
            </w:r>
          </w:p>
        </w:tc>
        <w:tc>
          <w:tcPr>
            <w:tcW w:w="3116" w:type="dxa"/>
            <w:shd w:val="clear" w:fill="EDF2F8"/>
            <w:vAlign w:val="top"/>
          </w:tcPr>
          <w:p>
            <w:pPr>
              <w:spacing w:before="40" w:after="40"/>
              <w:rPr>
                <w:sz w:val="18"/>
              </w:rPr>
            </w:pPr>
            <w:r>
              <w:rPr>
                <w:b/>
                <w:sz w:val="18"/>
                <w:szCs w:val="18"/>
              </w:rPr>
              <w:t xml:space="preserve">Comentario</w:t>
            </w:r>
          </w:p>
        </w:tc>
      </w:tr>
      <w:tr>
        <w:trPr>
          <w:cantSplit/>
        </w:trPr>
        <w:tc>
          <w:tcPr>
            <w:tcW w:w="3116" w:type="dxa"/>
            <w:vAlign w:val="top"/>
          </w:tcPr>
          <w:p>
            <w:pPr>
              <w:spacing w:before="40" w:after="40"/>
              <w:rPr>
                <w:sz w:val="18"/>
              </w:rPr>
            </w:pPr>
            <w:r>
              <w:rPr>
                <w:sz w:val="18"/>
                <w:szCs w:val="18"/>
              </w:rPr>
              <w:t xml:space="preserve">Plan de datos M2M celular</w:t>
            </w:r>
          </w:p>
        </w:tc>
        <w:tc>
          <w:tcPr>
            <w:tcW w:w="3116" w:type="dxa"/>
            <w:vAlign w:val="top"/>
          </w:tcPr>
          <w:p>
            <w:pPr>
              <w:spacing w:before="40" w:after="40"/>
              <w:rPr>
                <w:sz w:val="18"/>
              </w:rPr>
            </w:pPr>
            <w:r>
              <w:rPr>
                <w:sz w:val="18"/>
                <w:szCs w:val="18"/>
              </w:rPr>
              <w:t xml:space="preserve">Por SIM/mes</w:t>
            </w:r>
          </w:p>
        </w:tc>
        <w:tc>
          <w:tcPr>
            <w:tcW w:w="3116" w:type="dxa"/>
            <w:vAlign w:val="top"/>
          </w:tcPr>
          <w:p>
            <w:pPr>
              <w:spacing w:before="40" w:after="40"/>
              <w:rPr>
                <w:sz w:val="18"/>
              </w:rPr>
            </w:pPr>
            <w:r>
              <w:rPr>
                <w:b/>
                <w:sz w:val="18"/>
                <w:szCs w:val="18"/>
              </w:rPr>
              <w:t xml:space="preserve">≈15 MB/mes por camión — el volumen es trivial</w:t>
            </w:r>
          </w:p>
        </w:tc>
      </w:tr>
      <w:tr>
        <w:trPr>
          <w:cantSplit/>
        </w:trPr>
        <w:tc>
          <w:tcPr>
            <w:tcW w:w="3116" w:type="dxa"/>
            <w:vAlign w:val="top"/>
          </w:tcPr>
          <w:p>
            <w:pPr>
              <w:spacing w:before="40" w:after="40"/>
              <w:rPr>
                <w:sz w:val="18"/>
              </w:rPr>
            </w:pPr>
            <w:r>
              <w:rPr>
                <w:sz w:val="18"/>
                <w:szCs w:val="18"/>
              </w:rPr>
              <w:t xml:space="preserve">Suscripción de plataforma telemática</w:t>
            </w:r>
          </w:p>
        </w:tc>
        <w:tc>
          <w:tcPr>
            <w:tcW w:w="3116" w:type="dxa"/>
            <w:vAlign w:val="top"/>
          </w:tcPr>
          <w:p>
            <w:pPr>
              <w:spacing w:before="40" w:after="40"/>
              <w:rPr>
                <w:sz w:val="18"/>
              </w:rPr>
            </w:pPr>
            <w:r>
              <w:rPr>
                <w:sz w:val="18"/>
                <w:szCs w:val="18"/>
              </w:rPr>
              <w:t xml:space="preserve">Por vehículo/mes</w:t>
            </w:r>
          </w:p>
        </w:tc>
        <w:tc>
          <w:tcPr>
            <w:tcW w:w="3116" w:type="dxa"/>
            <w:vAlign w:val="top"/>
          </w:tcPr>
          <w:p>
            <w:pPr>
              <w:spacing w:before="40" w:after="40"/>
              <w:rPr>
                <w:sz w:val="18"/>
              </w:rPr>
            </w:pPr>
            <w:r>
              <w:rPr>
                <w:b/>
                <w:sz w:val="18"/>
                <w:szCs w:val="18"/>
              </w:rPr>
              <w:t xml:space="preserve">Aquí está el costo real, no en los datos</w:t>
            </w:r>
          </w:p>
        </w:tc>
      </w:tr>
      <w:tr>
        <w:trPr>
          <w:cantSplit/>
        </w:trPr>
        <w:tc>
          <w:tcPr>
            <w:tcW w:w="3116" w:type="dxa"/>
            <w:vAlign w:val="top"/>
          </w:tcPr>
          <w:p>
            <w:pPr>
              <w:spacing w:before="40" w:after="40"/>
              <w:rPr>
                <w:sz w:val="18"/>
              </w:rPr>
            </w:pPr>
            <w:r>
              <w:rPr>
                <w:sz w:val="18"/>
                <w:szCs w:val="18"/>
              </w:rPr>
              <w:t xml:space="preserve">Plan satelital SBD</w:t>
            </w:r>
          </w:p>
        </w:tc>
        <w:tc>
          <w:tcPr>
            <w:tcW w:w="3116" w:type="dxa"/>
            <w:vAlign w:val="top"/>
          </w:tcPr>
          <w:p>
            <w:pPr>
              <w:spacing w:before="40" w:after="40"/>
              <w:rPr>
                <w:sz w:val="18"/>
              </w:rPr>
            </w:pPr>
            <w:r>
              <w:rPr>
                <w:sz w:val="18"/>
                <w:szCs w:val="18"/>
              </w:rPr>
              <w:t xml:space="preserve">Por terminal/mes + paquete de mensajes</w:t>
            </w:r>
          </w:p>
        </w:tc>
        <w:tc>
          <w:tcPr>
            <w:tcW w:w="3116" w:type="dxa"/>
            <w:vAlign w:val="top"/>
          </w:tcPr>
          <w:p>
            <w:pPr>
              <w:spacing w:before="40" w:after="40"/>
              <w:rPr>
                <w:sz w:val="18"/>
              </w:rPr>
            </w:pPr>
            <w:r>
              <w:rPr>
                <w:sz w:val="18"/>
                <w:szCs w:val="18"/>
              </w:rPr>
              <w:t xml:space="preserve">Tarificado por mensaje: la cadencia es la palanca</w:t>
            </w:r>
          </w:p>
        </w:tc>
      </w:tr>
      <w:tr>
        <w:trPr>
          <w:cantSplit/>
        </w:trPr>
        <w:tc>
          <w:tcPr>
            <w:tcW w:w="3116" w:type="dxa"/>
            <w:vAlign w:val="top"/>
          </w:tcPr>
          <w:p>
            <w:pPr>
              <w:spacing w:before="40" w:after="40"/>
              <w:rPr>
                <w:sz w:val="18"/>
              </w:rPr>
            </w:pPr>
            <w:r>
              <w:rPr>
                <w:sz w:val="18"/>
                <w:szCs w:val="18"/>
              </w:rPr>
              <w:t xml:space="preserve">Suscripción rFMS por OEM</w:t>
            </w:r>
          </w:p>
        </w:tc>
        <w:tc>
          <w:tcPr>
            <w:tcW w:w="3116" w:type="dxa"/>
            <w:vAlign w:val="top"/>
          </w:tcPr>
          <w:p>
            <w:pPr>
              <w:spacing w:before="40" w:after="40"/>
              <w:rPr>
                <w:sz w:val="18"/>
              </w:rPr>
            </w:pPr>
            <w:r>
              <w:rPr>
                <w:sz w:val="18"/>
                <w:szCs w:val="18"/>
              </w:rPr>
              <w:t xml:space="preserve">Por contrato</w:t>
            </w:r>
          </w:p>
        </w:tc>
        <w:tc>
          <w:tcPr>
            <w:tcW w:w="3116" w:type="dxa"/>
            <w:vAlign w:val="top"/>
          </w:tcPr>
          <w:p>
            <w:pPr>
              <w:spacing w:before="40" w:after="40"/>
              <w:rPr>
                <w:sz w:val="18"/>
              </w:rPr>
            </w:pPr>
            <w:r>
              <w:rPr>
                <w:b/>
                <w:sz w:val="18"/>
                <w:szCs w:val="18"/>
              </w:rPr>
              <w:t xml:space="preserve">El dato es gratuito; el acceso puede no serlo</w:t>
            </w:r>
            <w:r>
              <w:rPr>
                <w:sz w:val="18"/>
                <w:szCs w:val="18"/>
              </w:rPr>
              <w:t xml:space="preserve"> — verificar marca por marca</w:t>
            </w:r>
          </w:p>
        </w:tc>
      </w:tr>
      <w:tr>
        <w:trPr>
          <w:cantSplit/>
        </w:trPr>
        <w:tc>
          <w:tcPr>
            <w:tcW w:w="3116" w:type="dxa"/>
            <w:vAlign w:val="top"/>
          </w:tcPr>
          <w:p>
            <w:pPr>
              <w:spacing w:before="40" w:after="40"/>
              <w:rPr>
                <w:sz w:val="18"/>
              </w:rPr>
            </w:pPr>
            <w:r>
              <w:rPr>
                <w:sz w:val="18"/>
                <w:szCs w:val="18"/>
              </w:rPr>
              <w:t xml:space="preserve">Azure</w:t>
            </w:r>
          </w:p>
        </w:tc>
        <w:tc>
          <w:tcPr>
            <w:tcW w:w="3116" w:type="dxa"/>
            <w:vAlign w:val="top"/>
          </w:tcPr>
          <w:p>
            <w:pPr>
              <w:spacing w:before="40" w:after="40"/>
              <w:rPr>
                <w:sz w:val="18"/>
              </w:rPr>
            </w:pPr>
            <w:r>
              <w:rPr>
                <w:sz w:val="18"/>
                <w:szCs w:val="18"/>
              </w:rPr>
              <w:t xml:space="preserve">Por consumo</w:t>
            </w:r>
          </w:p>
        </w:tc>
        <w:tc>
          <w:tcPr>
            <w:tcW w:w="3116" w:type="dxa"/>
            <w:vAlign w:val="top"/>
          </w:tcPr>
          <w:p>
            <w:pPr>
              <w:spacing w:before="40" w:after="40"/>
              <w:rPr>
                <w:sz w:val="18"/>
              </w:rPr>
            </w:pPr>
            <w:r>
              <w:rPr>
                <w:sz w:val="18"/>
                <w:szCs w:val="18"/>
              </w:rPr>
              <w:t xml:space="preserve">Ver §10.4</w:t>
            </w:r>
          </w:p>
        </w:tc>
      </w:tr>
      <w:tr>
        <w:trPr>
          <w:cantSplit/>
        </w:trPr>
        <w:tc>
          <w:tcPr>
            <w:tcW w:w="3116" w:type="dxa"/>
            <w:vAlign w:val="top"/>
          </w:tcPr>
          <w:p>
            <w:pPr>
              <w:spacing w:before="40" w:after="40"/>
              <w:rPr>
                <w:sz w:val="18"/>
              </w:rPr>
            </w:pPr>
            <w:r>
              <w:rPr>
                <w:sz w:val="18"/>
                <w:szCs w:val="18"/>
              </w:rPr>
              <w:t xml:space="preserve">Soporte de hardware crítico</w:t>
            </w:r>
          </w:p>
        </w:tc>
        <w:tc>
          <w:tcPr>
            <w:tcW w:w="3116" w:type="dxa"/>
            <w:vAlign w:val="top"/>
          </w:tcPr>
          <w:p>
            <w:pPr>
              <w:spacing w:before="40" w:after="40"/>
              <w:rPr>
                <w:sz w:val="18"/>
              </w:rPr>
            </w:pPr>
            <w:r>
              <w:rPr>
                <w:sz w:val="18"/>
                <w:szCs w:val="18"/>
              </w:rPr>
              <w:t xml:space="preserve">24×7, resolución en 4 h</w:t>
            </w:r>
          </w:p>
        </w:tc>
        <w:tc>
          <w:tcPr>
            <w:tcW w:w="3116" w:type="dxa"/>
            <w:vAlign w:val="top"/>
          </w:tcPr>
          <w:p>
            <w:pPr>
              <w:spacing w:before="40" w:after="40"/>
              <w:rPr>
                <w:sz w:val="18"/>
              </w:rPr>
            </w:pPr>
            <w:r>
              <w:rPr>
                <w:sz w:val="18"/>
                <w:szCs w:val="18"/>
              </w:rPr>
              <w:t xml:space="preserve">Numeral 8.4</w:t>
            </w:r>
          </w:p>
        </w:tc>
      </w:tr>
    </w:tbl>
    <w:p>
      <w:pPr>
        <w:spacing w:before="0" w:after="100"/>
      </w:pPr>
    </w:p>
    <w:p>
      <w:pPr>
        <w:spacing w:before="0" w:after="140" w:line="264" w:lineRule="auto"/>
      </w:pPr>
      <w:r>
        <w:rPr>
          <w:b/>
        </w:rPr>
        <w:t xml:space="preserve">El hallazgo económico de D4:</w:t>
      </w:r>
      <w:r>
        <w:t xml:space="preserve"> el costo recurrente de esta solución no está dominado por el tráfico de datos sino por los </w:t>
      </w:r>
      <w:r>
        <w:rPr>
          <w:b/>
        </w:rPr>
        <w:t xml:space="preserve">cargos por unidad</w:t>
      </w:r>
      <w:r>
        <w:t xml:space="preserve"> — SIM, suscripción de plataforma, suscripción satelital, suscripción por OEM. Todos escalan con las 374 unidades y luego con las 430. Esa es la conversación que hay que tener con proveedores, y es lo que hay que modelar a 36 meses.</w:t>
      </w:r>
    </w:p>
    <w:p>
      <w:pPr>
        <w:pStyle w:val="Heading2"/>
        <w:keepNext/>
        <w:spacing w:before="260" w:after="100"/>
      </w:pPr>
      <w:r>
        <w:t xml:space="preserve">10.4 Azure — cómo costear sin inventar</w:t>
      </w:r>
    </w:p>
    <w:p>
      <w:pPr>
        <w:spacing w:before="0" w:after="140" w:line="264" w:lineRule="auto"/>
      </w:pPr>
      <w:r>
        <w:rPr>
          <w:b/>
        </w:rPr>
        <w:t xml:space="preserve">No entrego cifras.</w:t>
      </w:r>
      <w:r>
        <w:t xml:space="preserve"> Azure cambia precios, y Chile Central tiene tarifa propia. El camino correcto:</w:t>
      </w:r>
    </w:p>
    <w:p>
      <w:pPr>
        <w:ind w:left="340"/>
        <w:spacing w:before="20" w:after="60"/>
      </w:pPr>
      <w:r>
        <w:t xml:space="preserve">1.  </w:t>
      </w:r>
      <w:r>
        <w:rPr>
          <w:b/>
        </w:rPr>
        <w:t xml:space="preserve">Calculadora oficial:</w:t>
      </w:r>
      <w:r>
        <w:t xml:space="preserve"> </w:t>
      </w:r>
      <w:r>
        <w:rPr>
          <w:rFonts w:ascii="Consolas" w:hAnsi="Consolas"/>
          <w:color w:val="5B21B6"/>
          <w:sz w:val="20"/>
          <w:szCs w:val="20"/>
          <w:shd w:val="clear" w:fill="F1F4F8"/>
        </w:rPr>
        <w:t xml:space="preserve">azure.microsoft.com/pricing/calculator</w:t>
      </w:r>
      <w:r>
        <w:t xml:space="preserve">, región </w:t>
      </w:r>
      <w:r>
        <w:rPr>
          <w:b/>
        </w:rPr>
        <w:t xml:space="preserve">Chile Central</w:t>
      </w:r>
      <w:r>
        <w:t xml:space="preserve">.</w:t>
      </w:r>
    </w:p>
    <w:p>
      <w:pPr>
        <w:ind w:left="340"/>
        <w:spacing w:before="20" w:after="60"/>
      </w:pPr>
      <w:r>
        <w:t xml:space="preserve">2.  </w:t>
      </w:r>
      <w:r>
        <w:rPr>
          <w:b/>
        </w:rPr>
        <w:t xml:space="preserve">Drivers de costo a modelar</w:t>
      </w:r>
      <w:r>
        <w:t xml:space="preserve">, en orden de peso esperado:</w:t>
      </w:r>
    </w:p>
    <w:p>
      <w:pPr>
        <w:ind w:left="620"/>
        <w:spacing w:before="20" w:after="60"/>
      </w:pPr>
      <w:r>
        <w:t xml:space="preserve">•  </w:t>
      </w:r>
      <w:r>
        <w:t xml:space="preserve">Ingesta IoT Hub: mensajes/día. Con 374 unidades y muestreo adaptativo ≈ 26.700 mensajes/mes</w:t>
      </w:r>
    </w:p>
    <w:p>
      <w:pPr>
        <w:spacing w:before="0" w:after="140" w:line="264" w:lineRule="auto"/>
      </w:pPr>
      <w:r>
        <w:t xml:space="preserve">por camión → </w:t>
      </w:r>
      <w:r>
        <w:rPr>
          <w:b/>
        </w:rPr>
        <w:t xml:space="preserve">≈10 M mensajes/mes</w:t>
      </w:r>
      <w:r>
        <w:t xml:space="preserve"> para la flota. Determina el nivel de IoT Hub.</w:t>
      </w:r>
    </w:p>
    <w:p>
      <w:pPr>
        <w:ind w:left="620"/>
        <w:spacing w:before="20" w:after="60"/>
      </w:pPr>
      <w:r>
        <w:t xml:space="preserve">•  </w:t>
      </w:r>
      <w:r>
        <w:t xml:space="preserve">Data Explorer: 2 años de series en línea (RT-05.10 del Caso) — el cálculo del volumen anual</w:t>
      </w:r>
    </w:p>
    <w:p>
      <w:pPr>
        <w:spacing w:before="0" w:after="140" w:line="264" w:lineRule="auto"/>
      </w:pPr>
      <w:r>
        <w:t xml:space="preserve">de series de posición es un ítem explícito del Cap. 14.2 y </w:t>
      </w:r>
      <w:r>
        <w:rPr>
          <w:b/>
        </w:rPr>
        <w:t xml:space="preserve">falta hacerlo con D3</w:t>
      </w:r>
      <w:r>
        <w:t xml:space="preserve">.</w:t>
      </w:r>
    </w:p>
    <w:p>
      <w:pPr>
        <w:ind w:left="620"/>
        <w:spacing w:before="20" w:after="60"/>
      </w:pPr>
      <w:r>
        <w:t xml:space="preserve">•  </w:t>
      </w:r>
      <w:r>
        <w:t xml:space="preserve">Blob inmutable: evidencia de jornada a 5 años, DET a 6, siniestros a 10.</w:t>
      </w:r>
    </w:p>
    <w:p>
      <w:pPr>
        <w:ind w:left="620"/>
        <w:spacing w:before="20" w:after="60"/>
      </w:pPr>
      <w:r>
        <w:t xml:space="preserve">•  </w:t>
      </w:r>
      <w:r>
        <w:t xml:space="preserve">AKS: nodos zone-redundant, el peak de asignación de la torre gobierna.</w:t>
      </w:r>
    </w:p>
    <w:p>
      <w:pPr>
        <w:ind w:left="620"/>
        <w:spacing w:before="20" w:after="60"/>
      </w:pPr>
      <w:r>
        <w:t xml:space="preserve">•  </w:t>
      </w:r>
      <w:r>
        <w:t xml:space="preserve">PostgreSQL HA zone-redundant: vCore + almacenamiento + réplica.</w:t>
      </w:r>
    </w:p>
    <w:p>
      <w:pPr>
        <w:ind w:left="620"/>
        <w:spacing w:before="20" w:after="60"/>
      </w:pPr>
      <w:r>
        <w:t xml:space="preserve">•  </w:t>
      </w:r>
      <w:r>
        <w:t xml:space="preserve">ExpressRoute: cargo por puerto + tránsito.</w:t>
      </w:r>
    </w:p>
    <w:p>
      <w:pPr>
        <w:ind w:left="620"/>
        <w:spacing w:before="20" w:after="60"/>
      </w:pPr>
      <w:r>
        <w:t xml:space="preserve">•  </w:t>
      </w:r>
      <w:r>
        <w:t xml:space="preserve">Egreso de datos: subestimado casi siempre; los portales de 84 clientes y 148 transportistas</w:t>
      </w:r>
    </w:p>
    <w:p>
      <w:pPr>
        <w:spacing w:before="0" w:after="140" w:line="264" w:lineRule="auto"/>
      </w:pPr>
      <w:r>
        <w:t xml:space="preserve">lo generan.</w:t>
      </w:r>
    </w:p>
    <w:p>
      <w:pPr>
        <w:ind w:left="340"/>
        <w:spacing w:before="20" w:after="60"/>
      </w:pPr>
      <w:r>
        <w:t xml:space="preserve">3.  </w:t>
      </w:r>
      <w:r>
        <w:rPr>
          <w:b/>
        </w:rPr>
        <w:t xml:space="preserve">Palancas que RT-03.08 pide reflejar:</w:t>
      </w:r>
      <w:r>
        <w:t xml:space="preserve"> instancias reservadas, planes de ahorro o capacidad</w:t>
      </w:r>
    </w:p>
    <w:p>
      <w:pPr>
        <w:spacing w:before="0" w:after="140" w:line="264" w:lineRule="auto"/>
      </w:pPr>
      <w:r>
        <w:t xml:space="preserve">comprometida a 1 y 3 años cuando el perfil de carga lo justifique.</w:t>
      </w:r>
    </w:p>
    <w:p>
      <w:pPr>
        <w:ind w:left="340"/>
        <w:spacing w:before="20" w:after="60"/>
      </w:pPr>
      <w:r>
        <w:t xml:space="preserve">4.  </w:t>
      </w:r>
      <w:r>
        <w:rPr>
          <w:b/>
        </w:rPr>
        <w:t xml:space="preserve">RT-03.06 obliga a FinOps de todos modos:</w:t>
      </w:r>
      <w:r>
        <w:t xml:space="preserve"> etiquetado por ambiente, módulo y centro de costo;</w:t>
      </w:r>
    </w:p>
    <w:p>
      <w:pPr>
        <w:spacing w:before="0" w:after="140" w:line="264" w:lineRule="auto"/>
      </w:pPr>
      <w:r>
        <w:t xml:space="preserve">presupuestos con alertas de desviación; reporte mensual desglosado al CLIENTE. Eso hay que presupuestarlo como trabajo, no solo como configuración.</w:t>
      </w:r>
    </w:p>
    <w:p>
      <w:pPr>
        <w:pStyle w:val="Heading2"/>
        <w:keepNext/>
        <w:spacing w:before="260" w:after="100"/>
      </w:pPr>
      <w:r>
        <w:t xml:space="preserve">10.5 Habilitación de San Bernardo</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Partida</w:t>
            </w:r>
          </w:p>
        </w:tc>
        <w:tc>
          <w:tcPr>
            <w:tcW w:w="4675" w:type="dxa"/>
            <w:shd w:val="clear" w:fill="EDF2F8"/>
            <w:vAlign w:val="top"/>
          </w:tcPr>
          <w:p>
            <w:pPr>
              <w:spacing w:before="40" w:after="40"/>
              <w:rPr>
                <w:sz w:val="18"/>
              </w:rPr>
            </w:pPr>
            <w:r>
              <w:rPr>
                <w:b/>
                <w:sz w:val="18"/>
                <w:szCs w:val="18"/>
              </w:rPr>
              <w:t xml:space="preserve">Comentario</w:t>
            </w:r>
          </w:p>
        </w:tc>
      </w:tr>
      <w:tr>
        <w:trPr>
          <w:cantSplit/>
        </w:trPr>
        <w:tc>
          <w:tcPr>
            <w:tcW w:w="4675" w:type="dxa"/>
            <w:vAlign w:val="top"/>
          </w:tcPr>
          <w:p>
            <w:pPr>
              <w:spacing w:before="40" w:after="40"/>
              <w:rPr>
                <w:sz w:val="18"/>
              </w:rPr>
            </w:pPr>
            <w:r>
              <w:rPr>
                <w:sz w:val="18"/>
                <w:szCs w:val="18"/>
              </w:rPr>
              <w:t xml:space="preserve">Obra civil de separación</w:t>
            </w:r>
          </w:p>
        </w:tc>
        <w:tc>
          <w:tcPr>
            <w:tcW w:w="4675" w:type="dxa"/>
            <w:vAlign w:val="top"/>
          </w:tcPr>
          <w:p>
            <w:pPr>
              <w:spacing w:before="40" w:after="40"/>
              <w:rPr>
                <w:sz w:val="18"/>
              </w:rPr>
            </w:pPr>
            <w:r>
              <w:rPr>
                <w:b/>
                <w:sz w:val="18"/>
                <w:szCs w:val="18"/>
              </w:rPr>
              <w:t xml:space="preserve">De cargo del CLIENTE</w:t>
            </w:r>
            <w:r>
              <w:rPr>
                <w:sz w:val="18"/>
                <w:szCs w:val="18"/>
              </w:rPr>
              <w:t xml:space="preserve">; nuestra es la especificación y la coordinación (RT-06.06)</w:t>
            </w:r>
          </w:p>
        </w:tc>
      </w:tr>
      <w:tr>
        <w:trPr>
          <w:cantSplit/>
        </w:trPr>
        <w:tc>
          <w:tcPr>
            <w:tcW w:w="4675" w:type="dxa"/>
            <w:vAlign w:val="top"/>
          </w:tcPr>
          <w:p>
            <w:pPr>
              <w:spacing w:before="40" w:after="40"/>
              <w:rPr>
                <w:sz w:val="18"/>
              </w:rPr>
            </w:pPr>
            <w:r>
              <w:rPr>
                <w:sz w:val="18"/>
                <w:szCs w:val="18"/>
              </w:rPr>
              <w:t xml:space="preserve">UPS ≥30 min</w:t>
            </w:r>
          </w:p>
        </w:tc>
        <w:tc>
          <w:tcPr>
            <w:tcW w:w="4675" w:type="dxa"/>
            <w:vAlign w:val="top"/>
          </w:tcPr>
          <w:p>
            <w:pPr>
              <w:spacing w:before="40" w:after="40"/>
              <w:rPr>
                <w:sz w:val="18"/>
              </w:rPr>
            </w:pPr>
            <w:r>
              <w:rPr>
                <w:sz w:val="18"/>
                <w:szCs w:val="18"/>
              </w:rPr>
              <w:t xml:space="preserve">Reemplaza el actual de 20 min</w:t>
            </w:r>
          </w:p>
        </w:tc>
      </w:tr>
      <w:tr>
        <w:trPr>
          <w:cantSplit/>
        </w:trPr>
        <w:tc>
          <w:tcPr>
            <w:tcW w:w="4675" w:type="dxa"/>
            <w:vAlign w:val="top"/>
          </w:tcPr>
          <w:p>
            <w:pPr>
              <w:spacing w:before="40" w:after="40"/>
              <w:rPr>
                <w:sz w:val="18"/>
              </w:rPr>
            </w:pPr>
            <w:r>
              <w:rPr>
                <w:sz w:val="18"/>
                <w:szCs w:val="18"/>
              </w:rPr>
              <w:t xml:space="preserve">Grupo electrógeno ≥24 h + estanque + contrato de reabastecimiento</w:t>
            </w:r>
          </w:p>
        </w:tc>
        <w:tc>
          <w:tcPr>
            <w:tcW w:w="4675" w:type="dxa"/>
            <w:vAlign w:val="top"/>
          </w:tcPr>
          <w:p>
            <w:pPr>
              <w:spacing w:before="40" w:after="40"/>
              <w:rPr>
                <w:sz w:val="18"/>
              </w:rPr>
            </w:pPr>
            <w:r>
              <w:rPr>
                <w:sz w:val="18"/>
                <w:szCs w:val="18"/>
              </w:rPr>
              <w:t xml:space="preserve">No existe hoy</w:t>
            </w:r>
          </w:p>
        </w:tc>
      </w:tr>
      <w:tr>
        <w:trPr>
          <w:cantSplit/>
        </w:trPr>
        <w:tc>
          <w:tcPr>
            <w:tcW w:w="4675" w:type="dxa"/>
            <w:vAlign w:val="top"/>
          </w:tcPr>
          <w:p>
            <w:pPr>
              <w:spacing w:before="40" w:after="40"/>
              <w:rPr>
                <w:sz w:val="18"/>
              </w:rPr>
            </w:pPr>
            <w:r>
              <w:rPr>
                <w:sz w:val="18"/>
                <w:szCs w:val="18"/>
              </w:rPr>
              <w:t xml:space="preserve">Climatización de precisión N+1</w:t>
            </w:r>
          </w:p>
        </w:tc>
        <w:tc>
          <w:tcPr>
            <w:tcW w:w="4675" w:type="dxa"/>
            <w:vAlign w:val="top"/>
          </w:tcPr>
          <w:p>
            <w:pPr>
              <w:spacing w:before="40" w:after="40"/>
              <w:rPr>
                <w:sz w:val="18"/>
              </w:rPr>
            </w:pPr>
            <w:r>
              <w:rPr>
                <w:sz w:val="18"/>
                <w:szCs w:val="18"/>
              </w:rPr>
              <w:t xml:space="preserve">Reemplaza el split</w:t>
            </w:r>
          </w:p>
        </w:tc>
      </w:tr>
      <w:tr>
        <w:trPr>
          <w:cantSplit/>
        </w:trPr>
        <w:tc>
          <w:tcPr>
            <w:tcW w:w="4675" w:type="dxa"/>
            <w:vAlign w:val="top"/>
          </w:tcPr>
          <w:p>
            <w:pPr>
              <w:spacing w:before="40" w:after="40"/>
              <w:rPr>
                <w:sz w:val="18"/>
              </w:rPr>
            </w:pPr>
            <w:r>
              <w:rPr>
                <w:sz w:val="18"/>
                <w:szCs w:val="18"/>
              </w:rPr>
              <w:t xml:space="preserve">Detección por aspiración láser</w:t>
            </w:r>
          </w:p>
        </w:tc>
        <w:tc>
          <w:tcPr>
            <w:tcW w:w="4675" w:type="dxa"/>
            <w:vAlign w:val="top"/>
          </w:tcPr>
          <w:p>
            <w:pPr>
              <w:spacing w:before="40" w:after="40"/>
              <w:rPr>
                <w:sz w:val="18"/>
              </w:rPr>
            </w:pPr>
            <w:r>
              <w:rPr>
                <w:sz w:val="18"/>
                <w:szCs w:val="18"/>
              </w:rPr>
              <w:t xml:space="preserve">No existe</w:t>
            </w:r>
          </w:p>
        </w:tc>
      </w:tr>
      <w:tr>
        <w:trPr>
          <w:cantSplit/>
        </w:trPr>
        <w:tc>
          <w:tcPr>
            <w:tcW w:w="4675" w:type="dxa"/>
            <w:vAlign w:val="top"/>
          </w:tcPr>
          <w:p>
            <w:pPr>
              <w:spacing w:before="40" w:after="40"/>
              <w:rPr>
                <w:sz w:val="18"/>
              </w:rPr>
            </w:pPr>
            <w:r>
              <w:rPr>
                <w:sz w:val="18"/>
                <w:szCs w:val="18"/>
              </w:rPr>
              <w:t xml:space="preserve">Extinción por agente limpio de bajo GWP</w:t>
            </w:r>
          </w:p>
        </w:tc>
        <w:tc>
          <w:tcPr>
            <w:tcW w:w="4675" w:type="dxa"/>
            <w:vAlign w:val="top"/>
          </w:tcPr>
          <w:p>
            <w:pPr>
              <w:spacing w:before="40" w:after="40"/>
              <w:rPr>
                <w:sz w:val="18"/>
              </w:rPr>
            </w:pPr>
            <w:r>
              <w:rPr>
                <w:sz w:val="18"/>
                <w:szCs w:val="18"/>
              </w:rPr>
              <w:t xml:space="preserve">Ver RT-06.34: la mejora se privilegia</w:t>
            </w:r>
          </w:p>
        </w:tc>
      </w:tr>
      <w:tr>
        <w:trPr>
          <w:cantSplit/>
        </w:trPr>
        <w:tc>
          <w:tcPr>
            <w:tcW w:w="4675" w:type="dxa"/>
            <w:vAlign w:val="top"/>
          </w:tcPr>
          <w:p>
            <w:pPr>
              <w:spacing w:before="40" w:after="40"/>
              <w:rPr>
                <w:sz w:val="18"/>
              </w:rPr>
            </w:pPr>
            <w:r>
              <w:rPr>
                <w:sz w:val="18"/>
                <w:szCs w:val="18"/>
              </w:rPr>
              <w:t xml:space="preserve">Control de acceso biométrico + CCTV 30 días</w:t>
            </w:r>
          </w:p>
        </w:tc>
        <w:tc>
          <w:tcPr>
            <w:tcW w:w="4675" w:type="dxa"/>
            <w:vAlign w:val="top"/>
          </w:tcPr>
          <w:p>
            <w:pPr>
              <w:spacing w:before="40" w:after="40"/>
              <w:rPr>
                <w:sz w:val="18"/>
              </w:rPr>
            </w:pPr>
            <w:r>
              <w:rPr>
                <w:sz w:val="18"/>
                <w:szCs w:val="18"/>
              </w:rPr>
              <w:t xml:space="preserve">Reemplaza la credencial</w:t>
            </w:r>
          </w:p>
        </w:tc>
      </w:tr>
      <w:tr>
        <w:trPr>
          <w:cantSplit/>
        </w:trPr>
        <w:tc>
          <w:tcPr>
            <w:tcW w:w="4675" w:type="dxa"/>
            <w:vAlign w:val="top"/>
          </w:tcPr>
          <w:p>
            <w:pPr>
              <w:spacing w:before="40" w:after="40"/>
              <w:rPr>
                <w:sz w:val="18"/>
              </w:rPr>
            </w:pPr>
            <w:r>
              <w:rPr>
                <w:sz w:val="18"/>
                <w:szCs w:val="18"/>
              </w:rPr>
              <w:t xml:space="preserve">Servidores, almacenamiento, red HA</w:t>
            </w:r>
          </w:p>
        </w:tc>
        <w:tc>
          <w:tcPr>
            <w:tcW w:w="4675" w:type="dxa"/>
            <w:vAlign w:val="top"/>
          </w:tcPr>
          <w:p>
            <w:pPr>
              <w:spacing w:before="40" w:after="40"/>
              <w:rPr>
                <w:sz w:val="18"/>
              </w:rPr>
            </w:pPr>
            <w:r>
              <w:rPr>
                <w:sz w:val="18"/>
                <w:szCs w:val="18"/>
              </w:rPr>
              <w:t xml:space="preserve">Equipamiento nuevo con garantía vigente (RT-08.06)</w:t>
            </w:r>
          </w:p>
        </w:tc>
      </w:tr>
      <w:tr>
        <w:trPr>
          <w:cantSplit/>
        </w:trPr>
        <w:tc>
          <w:tcPr>
            <w:tcW w:w="4675" w:type="dxa"/>
            <w:vAlign w:val="top"/>
          </w:tcPr>
          <w:p>
            <w:pPr>
              <w:spacing w:before="40" w:after="40"/>
              <w:rPr>
                <w:sz w:val="18"/>
              </w:rPr>
            </w:pPr>
            <w:r>
              <w:rPr>
                <w:sz w:val="18"/>
                <w:szCs w:val="18"/>
              </w:rPr>
              <w:t xml:space="preserve">Puesta a tierra y medición semestral</w:t>
            </w:r>
          </w:p>
        </w:tc>
        <w:tc>
          <w:tcPr>
            <w:tcW w:w="4675" w:type="dxa"/>
            <w:vAlign w:val="top"/>
          </w:tcPr>
          <w:p>
            <w:pPr>
              <w:spacing w:before="40" w:after="40"/>
              <w:rPr>
                <w:sz w:val="18"/>
              </w:rPr>
            </w:pPr>
            <w:r>
              <w:rPr>
                <w:sz w:val="18"/>
                <w:szCs w:val="18"/>
              </w:rPr>
              <w:t xml:space="preserve">RT-06.09, RT-06.10</w:t>
            </w:r>
          </w:p>
        </w:tc>
      </w:tr>
    </w:tbl>
    <w:p>
      <w:pPr>
        <w:spacing w:before="0" w:after="100"/>
      </w:pPr>
    </w:p>
    <w:p>
      <w:pPr>
        <w:pBdr>
          <w:bottom w:val="single" w:sz="6" w:space="1" w:color="C8D2DE"/>
        </w:pBdr>
        <w:spacing w:before="160" w:after="160"/>
      </w:pPr>
    </w:p>
    <w:p>
      <w:pPr>
        <w:pStyle w:val="Heading1"/>
        <w:keepNext/>
        <w:spacing w:before="320" w:after="120"/>
      </w:pPr>
      <w:r>
        <w:t xml:space="preserve">11. Registro de hallazgos y contradicciones</w:t>
      </w:r>
    </w:p>
    <w:p>
      <w:pPr>
        <w:pStyle w:val="Heading2"/>
        <w:keepNext/>
        <w:spacing w:before="260" w:after="100"/>
      </w:pPr>
      <w:r>
        <w:t xml:space="preserve">11.1 Códigos RT que no calzan entre el Caso y las Transversales</w:t>
      </w:r>
    </w:p>
    <w:p>
      <w:pPr>
        <w:spacing w:before="0" w:after="140" w:line="264" w:lineRule="auto"/>
      </w:pPr>
      <w:r>
        <w:t xml:space="preserve">Verificado por OCR. </w:t>
      </w:r>
      <w:r>
        <w:rPr>
          <w:b/>
        </w:rPr>
        <w:t xml:space="preserve">Recomiendo revisar las págs. 31–33 del Caso a ojo antes de enviar C-11.</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Código</w:t>
            </w:r>
          </w:p>
        </w:tc>
        <w:tc>
          <w:tcPr>
            <w:tcW w:w="2337" w:type="dxa"/>
            <w:shd w:val="clear" w:fill="EDF2F8"/>
            <w:vAlign w:val="top"/>
          </w:tcPr>
          <w:p>
            <w:pPr>
              <w:spacing w:before="40" w:after="40"/>
              <w:rPr>
                <w:sz w:val="18"/>
              </w:rPr>
            </w:pPr>
            <w:r>
              <w:rPr>
                <w:b/>
                <w:sz w:val="18"/>
                <w:szCs w:val="18"/>
              </w:rPr>
              <w:t xml:space="preserve">El Caso (Cap. 15) dice</w:t>
            </w:r>
          </w:p>
        </w:tc>
        <w:tc>
          <w:tcPr>
            <w:tcW w:w="2337" w:type="dxa"/>
            <w:shd w:val="clear" w:fill="EDF2F8"/>
            <w:vAlign w:val="top"/>
          </w:tcPr>
          <w:p>
            <w:pPr>
              <w:spacing w:before="40" w:after="40"/>
              <w:rPr>
                <w:sz w:val="18"/>
              </w:rPr>
            </w:pPr>
            <w:r>
              <w:rPr>
                <w:b/>
                <w:sz w:val="18"/>
                <w:szCs w:val="18"/>
              </w:rPr>
              <w:t xml:space="preserve">Las Transversales dicen</w:t>
            </w:r>
          </w:p>
        </w:tc>
        <w:tc>
          <w:tcPr>
            <w:tcW w:w="2337" w:type="dxa"/>
            <w:shd w:val="clear" w:fill="EDF2F8"/>
            <w:vAlign w:val="top"/>
          </w:tcPr>
          <w:p>
            <w:pPr>
              <w:spacing w:before="40" w:after="40"/>
              <w:rPr>
                <w:sz w:val="18"/>
              </w:rPr>
            </w:pPr>
            <w:r>
              <w:rPr>
                <w:b/>
                <w:sz w:val="18"/>
                <w:szCs w:val="18"/>
              </w:rPr>
              <w:t xml:space="preserve">Carácter transversal</w:t>
            </w:r>
          </w:p>
        </w:tc>
      </w:tr>
      <w:tr>
        <w:trPr>
          <w:cantSplit/>
        </w:trPr>
        <w:tc>
          <w:tcPr>
            <w:tcW w:w="2337" w:type="dxa"/>
            <w:vAlign w:val="top"/>
          </w:tcPr>
          <w:p>
            <w:pPr>
              <w:spacing w:before="40" w:after="40"/>
              <w:rPr>
                <w:sz w:val="18"/>
              </w:rPr>
            </w:pPr>
            <w:r>
              <w:rPr>
                <w:sz w:val="18"/>
                <w:szCs w:val="18"/>
              </w:rPr>
              <w:t xml:space="preserve">RT-05.10</w:t>
            </w:r>
          </w:p>
        </w:tc>
        <w:tc>
          <w:tcPr>
            <w:tcW w:w="2337" w:type="dxa"/>
            <w:vAlign w:val="top"/>
          </w:tcPr>
          <w:p>
            <w:pPr>
              <w:spacing w:before="40" w:after="40"/>
              <w:rPr>
                <w:sz w:val="18"/>
              </w:rPr>
            </w:pPr>
            <w:r>
              <w:rPr>
                <w:sz w:val="18"/>
                <w:szCs w:val="18"/>
              </w:rPr>
              <w:t xml:space="preserve">Retención de datos históricos y de auditoría</w:t>
            </w:r>
          </w:p>
        </w:tc>
        <w:tc>
          <w:tcPr>
            <w:tcW w:w="2337" w:type="dxa"/>
            <w:vAlign w:val="top"/>
          </w:tcPr>
          <w:p>
            <w:pPr>
              <w:spacing w:before="40" w:after="40"/>
              <w:rPr>
                <w:sz w:val="18"/>
              </w:rPr>
            </w:pPr>
            <w:r>
              <w:rPr>
                <w:sz w:val="18"/>
                <w:szCs w:val="18"/>
              </w:rPr>
              <w:t xml:space="preserve">Catálogo de datos con linaje automatizado (pág. 12/51)</w:t>
            </w:r>
          </w:p>
        </w:tc>
        <w:tc>
          <w:tcPr>
            <w:tcW w:w="2337" w:type="dxa"/>
            <w:vAlign w:val="top"/>
          </w:tcPr>
          <w:p>
            <w:pPr>
              <w:spacing w:before="40" w:after="40"/>
              <w:rPr>
                <w:sz w:val="18"/>
              </w:rPr>
            </w:pPr>
            <w:r>
              <w:rPr>
                <w:b/>
                <w:sz w:val="18"/>
                <w:szCs w:val="18"/>
              </w:rPr>
              <w:t xml:space="preserve">Deseable</w:t>
            </w:r>
          </w:p>
        </w:tc>
      </w:tr>
      <w:tr>
        <w:trPr>
          <w:cantSplit/>
        </w:trPr>
        <w:tc>
          <w:tcPr>
            <w:tcW w:w="2337" w:type="dxa"/>
            <w:vAlign w:val="top"/>
          </w:tcPr>
          <w:p>
            <w:pPr>
              <w:spacing w:before="40" w:after="40"/>
              <w:rPr>
                <w:sz w:val="18"/>
              </w:rPr>
            </w:pPr>
            <w:r>
              <w:rPr>
                <w:sz w:val="18"/>
                <w:szCs w:val="18"/>
              </w:rPr>
              <w:t xml:space="preserve">RT-15.02</w:t>
            </w:r>
          </w:p>
        </w:tc>
        <w:tc>
          <w:tcPr>
            <w:tcW w:w="2337" w:type="dxa"/>
            <w:vAlign w:val="top"/>
          </w:tcPr>
          <w:p>
            <w:pPr>
              <w:spacing w:before="40" w:after="40"/>
              <w:rPr>
                <w:sz w:val="18"/>
              </w:rPr>
            </w:pPr>
            <w:r>
              <w:rPr>
                <w:sz w:val="18"/>
                <w:szCs w:val="18"/>
              </w:rPr>
              <w:t xml:space="preserve">Certificaciones sectoriales del adjudicatario</w:t>
            </w:r>
          </w:p>
        </w:tc>
        <w:tc>
          <w:tcPr>
            <w:tcW w:w="2337" w:type="dxa"/>
            <w:vAlign w:val="top"/>
          </w:tcPr>
          <w:p>
            <w:pPr>
              <w:spacing w:before="40" w:after="40"/>
              <w:rPr>
                <w:sz w:val="18"/>
              </w:rPr>
            </w:pPr>
            <w:r>
              <w:rPr>
                <w:sz w:val="18"/>
                <w:szCs w:val="18"/>
              </w:rPr>
              <w:t xml:space="preserve">Apagar ambientes no productivos fuera de horario (pág. 27/51)</w:t>
            </w:r>
          </w:p>
        </w:tc>
        <w:tc>
          <w:tcPr>
            <w:tcW w:w="2337" w:type="dxa"/>
            <w:vAlign w:val="top"/>
          </w:tcPr>
          <w:p>
            <w:pPr>
              <w:spacing w:before="40" w:after="40"/>
              <w:rPr>
                <w:sz w:val="18"/>
              </w:rPr>
            </w:pPr>
            <w:r>
              <w:rPr>
                <w:sz w:val="18"/>
                <w:szCs w:val="18"/>
              </w:rPr>
              <w:t xml:space="preserve">Obligatorio</w:t>
            </w:r>
          </w:p>
        </w:tc>
      </w:tr>
      <w:tr>
        <w:trPr>
          <w:cantSplit/>
        </w:trPr>
        <w:tc>
          <w:tcPr>
            <w:tcW w:w="2337" w:type="dxa"/>
            <w:vAlign w:val="top"/>
          </w:tcPr>
          <w:p>
            <w:pPr>
              <w:spacing w:before="40" w:after="40"/>
              <w:rPr>
                <w:sz w:val="18"/>
              </w:rPr>
            </w:pPr>
            <w:r>
              <w:rPr>
                <w:sz w:val="18"/>
                <w:szCs w:val="18"/>
              </w:rPr>
              <w:t xml:space="preserve">RT-09.01</w:t>
            </w:r>
          </w:p>
        </w:tc>
        <w:tc>
          <w:tcPr>
            <w:tcW w:w="2337" w:type="dxa"/>
            <w:vAlign w:val="top"/>
          </w:tcPr>
          <w:p>
            <w:pPr>
              <w:spacing w:before="40" w:after="40"/>
              <w:rPr>
                <w:sz w:val="18"/>
              </w:rPr>
            </w:pPr>
            <w:r>
              <w:rPr>
                <w:sz w:val="18"/>
                <w:szCs w:val="18"/>
              </w:rPr>
              <w:t xml:space="preserve">Latencias de transacción operacional crítica</w:t>
            </w:r>
          </w:p>
        </w:tc>
        <w:tc>
          <w:tcPr>
            <w:tcW w:w="2337" w:type="dxa"/>
            <w:vAlign w:val="top"/>
          </w:tcPr>
          <w:p>
            <w:pPr>
              <w:spacing w:before="40" w:after="40"/>
              <w:rPr>
                <w:sz w:val="18"/>
              </w:rPr>
            </w:pPr>
            <w:r>
              <w:rPr>
                <w:sz w:val="18"/>
                <w:szCs w:val="18"/>
              </w:rPr>
              <w:t xml:space="preserve">Cálculo de capacidad y dimensionamiento (pág. 22/51)</w:t>
            </w:r>
          </w:p>
        </w:tc>
        <w:tc>
          <w:tcPr>
            <w:tcW w:w="2337" w:type="dxa"/>
            <w:vAlign w:val="top"/>
          </w:tcPr>
          <w:p>
            <w:pPr>
              <w:spacing w:before="40" w:after="40"/>
              <w:rPr>
                <w:sz w:val="18"/>
              </w:rPr>
            </w:pPr>
            <w:r>
              <w:rPr>
                <w:sz w:val="18"/>
                <w:szCs w:val="18"/>
              </w:rPr>
              <w:t xml:space="preserve">Obligatorio</w:t>
            </w:r>
          </w:p>
        </w:tc>
      </w:tr>
      <w:tr>
        <w:trPr>
          <w:cantSplit/>
        </w:trPr>
        <w:tc>
          <w:tcPr>
            <w:tcW w:w="2337" w:type="dxa"/>
            <w:vAlign w:val="top"/>
          </w:tcPr>
          <w:p>
            <w:pPr>
              <w:spacing w:before="40" w:after="40"/>
              <w:rPr>
                <w:sz w:val="18"/>
              </w:rPr>
            </w:pPr>
            <w:r>
              <w:rPr>
                <w:sz w:val="18"/>
                <w:szCs w:val="18"/>
              </w:rPr>
              <w:t xml:space="preserve">RT-16.14</w:t>
            </w:r>
          </w:p>
        </w:tc>
        <w:tc>
          <w:tcPr>
            <w:tcW w:w="2337" w:type="dxa"/>
            <w:vAlign w:val="top"/>
          </w:tcPr>
          <w:p>
            <w:pPr>
              <w:spacing w:before="40" w:after="40"/>
              <w:rPr>
                <w:sz w:val="18"/>
              </w:rPr>
            </w:pPr>
            <w:r>
              <w:rPr>
                <w:sz w:val="18"/>
                <w:szCs w:val="18"/>
              </w:rPr>
              <w:t xml:space="preserve">Firma electrónica</w:t>
            </w:r>
          </w:p>
        </w:tc>
        <w:tc>
          <w:tcPr>
            <w:tcW w:w="2337" w:type="dxa"/>
            <w:vAlign w:val="top"/>
          </w:tcPr>
          <w:p>
            <w:pPr>
              <w:spacing w:before="40" w:after="40"/>
              <w:rPr>
                <w:sz w:val="18"/>
              </w:rPr>
            </w:pPr>
            <w:r>
              <w:rPr>
                <w:sz w:val="18"/>
                <w:szCs w:val="18"/>
              </w:rPr>
              <w:t xml:space="preserve">Motor de reglas sin recompilación</w:t>
            </w:r>
          </w:p>
        </w:tc>
        <w:tc>
          <w:tcPr>
            <w:tcW w:w="2337" w:type="dxa"/>
            <w:vAlign w:val="top"/>
          </w:tcPr>
          <w:p>
            <w:pPr>
              <w:spacing w:before="40" w:after="40"/>
              <w:rPr>
                <w:sz w:val="18"/>
              </w:rPr>
            </w:pPr>
            <w:r>
              <w:rPr>
                <w:b/>
                <w:sz w:val="18"/>
                <w:szCs w:val="18"/>
              </w:rPr>
              <w:t xml:space="preserve">Deseable</w:t>
            </w:r>
          </w:p>
        </w:tc>
      </w:tr>
      <w:tr>
        <w:trPr>
          <w:cantSplit/>
        </w:trPr>
        <w:tc>
          <w:tcPr>
            <w:tcW w:w="2337" w:type="dxa"/>
            <w:vAlign w:val="top"/>
          </w:tcPr>
          <w:p>
            <w:pPr>
              <w:spacing w:before="40" w:after="40"/>
              <w:rPr>
                <w:sz w:val="18"/>
              </w:rPr>
            </w:pPr>
            <w:r>
              <w:rPr>
                <w:sz w:val="18"/>
                <w:szCs w:val="18"/>
              </w:rPr>
              <w:t xml:space="preserve">RT-03.24</w:t>
            </w:r>
          </w:p>
        </w:tc>
        <w:tc>
          <w:tcPr>
            <w:tcW w:w="2337" w:type="dxa"/>
            <w:vAlign w:val="top"/>
          </w:tcPr>
          <w:p>
            <w:pPr>
              <w:spacing w:before="40" w:after="40"/>
              <w:rPr>
                <w:sz w:val="18"/>
              </w:rPr>
            </w:pPr>
            <w:r>
              <w:rPr>
                <w:sz w:val="18"/>
                <w:szCs w:val="18"/>
              </w:rPr>
              <w:t xml:space="preserve">Red de sitios operacionales y medición de cobertura</w:t>
            </w:r>
          </w:p>
        </w:tc>
        <w:tc>
          <w:tcPr>
            <w:tcW w:w="2337" w:type="dxa"/>
            <w:vAlign w:val="top"/>
          </w:tcPr>
          <w:p>
            <w:pPr>
              <w:spacing w:before="40" w:after="40"/>
              <w:rPr>
                <w:sz w:val="18"/>
              </w:rPr>
            </w:pPr>
            <w:r>
              <w:rPr>
                <w:sz w:val="18"/>
                <w:szCs w:val="18"/>
              </w:rPr>
              <w:t xml:space="preserve">Calidad de servicio y priorización de tráfico (pág. 10/51)</w:t>
            </w:r>
          </w:p>
        </w:tc>
        <w:tc>
          <w:tcPr>
            <w:tcW w:w="2337" w:type="dxa"/>
            <w:vAlign w:val="top"/>
          </w:tcPr>
          <w:p>
            <w:pPr>
              <w:spacing w:before="40" w:after="40"/>
              <w:rPr>
                <w:sz w:val="18"/>
              </w:rPr>
            </w:pPr>
            <w:r>
              <w:rPr>
                <w:b/>
                <w:sz w:val="18"/>
                <w:szCs w:val="18"/>
              </w:rPr>
              <w:t xml:space="preserve">Deseable</w:t>
            </w:r>
          </w:p>
        </w:tc>
      </w:tr>
    </w:tbl>
    <w:p>
      <w:pPr>
        <w:spacing w:before="0" w:after="100"/>
      </w:pPr>
    </w:p>
    <w:p>
      <w:pPr>
        <w:spacing w:before="0" w:after="140" w:line="264" w:lineRule="auto"/>
      </w:pPr>
      <w:r>
        <w:t xml:space="preserve">Unos 15 de los 24 códigos sí calzan (RT-02.12, RT-05.23, RT-05.29, RT-11.10, RT-12.11, RT-13.08, RT-17.06 y otros). </w:t>
      </w:r>
      <w:r>
        <w:rPr>
          <w:b/>
        </w:rPr>
        <w:t xml:space="preserve">En tres casos el Caso convierte en exigible algo que transversalmente es solo deseable.</w:t>
      </w:r>
    </w:p>
    <w:p>
      <w:pPr>
        <w:spacing w:before="0" w:after="140" w:line="264" w:lineRule="auto"/>
      </w:pPr>
      <w:r>
        <w:rPr>
          <w:b/>
        </w:rPr>
        <w:t xml:space="preserve">Impacto directo en D4:</w:t>
      </w:r>
      <w:r>
        <w:t xml:space="preserve"> RT-03.24 era el código con que íbamos a justificar la medición de cobertura en terreno, y transversalmente ese código es otra cosa y ni siquiera es obligatorio. → </w:t>
      </w:r>
      <w:r>
        <w:rPr>
          <w:b/>
        </w:rPr>
        <w:t xml:space="preserve">Citar el requisito por su texto y su página, no solo por su código.</w:t>
      </w:r>
    </w:p>
    <w:p>
      <w:pPr>
        <w:pStyle w:val="Heading2"/>
        <w:keepNext/>
        <w:spacing w:before="260" w:after="100"/>
      </w:pPr>
      <w:r>
        <w:t xml:space="preserve">11.2 Correcciones a nuestros propios documentos</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Documento</w:t>
            </w:r>
          </w:p>
        </w:tc>
        <w:tc>
          <w:tcPr>
            <w:tcW w:w="3116" w:type="dxa"/>
            <w:shd w:val="clear" w:fill="EDF2F8"/>
            <w:vAlign w:val="top"/>
          </w:tcPr>
          <w:p>
            <w:pPr>
              <w:spacing w:before="40" w:after="40"/>
              <w:rPr>
                <w:sz w:val="18"/>
              </w:rPr>
            </w:pPr>
            <w:r>
              <w:rPr>
                <w:b/>
                <w:sz w:val="18"/>
                <w:szCs w:val="18"/>
              </w:rPr>
              <w:t xml:space="preserve">Qué dice</w:t>
            </w:r>
          </w:p>
        </w:tc>
        <w:tc>
          <w:tcPr>
            <w:tcW w:w="3116" w:type="dxa"/>
            <w:shd w:val="clear" w:fill="EDF2F8"/>
            <w:vAlign w:val="top"/>
          </w:tcPr>
          <w:p>
            <w:pPr>
              <w:spacing w:before="40" w:after="40"/>
              <w:rPr>
                <w:sz w:val="18"/>
              </w:rPr>
            </w:pPr>
            <w:r>
              <w:rPr>
                <w:b/>
                <w:sz w:val="18"/>
                <w:szCs w:val="18"/>
              </w:rPr>
              <w:t xml:space="preserve">Qué corresponde</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CONTEXTO-CASO10.md</w:t>
            </w:r>
            <w:r>
              <w:rPr>
                <w:sz w:val="18"/>
                <w:szCs w:val="18"/>
              </w:rPr>
              <w:t xml:space="preserve"> §6.2</w:t>
            </w:r>
          </w:p>
        </w:tc>
        <w:tc>
          <w:tcPr>
            <w:tcW w:w="3116" w:type="dxa"/>
            <w:vAlign w:val="top"/>
          </w:tcPr>
          <w:p>
            <w:pPr>
              <w:spacing w:before="40" w:after="40"/>
              <w:rPr>
                <w:sz w:val="18"/>
              </w:rPr>
            </w:pPr>
            <w:r>
              <w:rPr>
                <w:sz w:val="18"/>
                <w:szCs w:val="18"/>
              </w:rPr>
              <w:t xml:space="preserve">«Capa 0 — todas las unidades»</w:t>
            </w:r>
          </w:p>
        </w:tc>
        <w:tc>
          <w:tcPr>
            <w:tcW w:w="3116" w:type="dxa"/>
            <w:vAlign w:val="top"/>
          </w:tcPr>
          <w:p>
            <w:pPr>
              <w:spacing w:before="40" w:after="40"/>
              <w:rPr>
                <w:sz w:val="18"/>
              </w:rPr>
            </w:pPr>
            <w:r>
              <w:rPr>
                <w:sz w:val="18"/>
                <w:szCs w:val="18"/>
              </w:rPr>
              <w:t xml:space="preserve">«todas las unidades </w:t>
            </w:r>
            <w:r>
              <w:rPr>
                <w:b/>
                <w:sz w:val="18"/>
                <w:szCs w:val="18"/>
              </w:rPr>
              <w:t xml:space="preserve">intervenidas</w:t>
            </w:r>
            <w:r>
              <w:rPr>
                <w:sz w:val="18"/>
                <w:szCs w:val="18"/>
              </w:rPr>
              <w:t xml:space="preserve">» — restricción 3</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CONTEXTO-CASO10.md</w:t>
            </w:r>
            <w:r>
              <w:rPr>
                <w:sz w:val="18"/>
                <w:szCs w:val="18"/>
              </w:rPr>
              <w:t xml:space="preserve"> §7</w:t>
            </w:r>
          </w:p>
        </w:tc>
        <w:tc>
          <w:tcPr>
            <w:tcW w:w="3116" w:type="dxa"/>
            <w:vAlign w:val="top"/>
          </w:tcPr>
          <w:p>
            <w:pPr>
              <w:spacing w:before="40" w:after="40"/>
              <w:rPr>
                <w:sz w:val="18"/>
              </w:rPr>
            </w:pPr>
            <w:r>
              <w:rPr>
                <w:sz w:val="18"/>
                <w:szCs w:val="18"/>
              </w:rPr>
              <w:t xml:space="preserve">«las otras dos tienen texto seleccionable»</w:t>
            </w:r>
          </w:p>
        </w:tc>
        <w:tc>
          <w:tcPr>
            <w:tcW w:w="3116" w:type="dxa"/>
            <w:vAlign w:val="top"/>
          </w:tcPr>
          <w:p>
            <w:pPr>
              <w:spacing w:before="40" w:after="40"/>
              <w:rPr>
                <w:sz w:val="18"/>
              </w:rPr>
            </w:pPr>
            <w:r>
              <w:rPr>
                <w:b/>
                <w:sz w:val="18"/>
                <w:szCs w:val="18"/>
              </w:rPr>
              <w:t xml:space="preserve">Los tres PDF son escaneos.</w:t>
            </w:r>
            <w:r>
              <w:rPr>
                <w:sz w:val="18"/>
                <w:szCs w:val="18"/>
              </w:rPr>
              <w:t xml:space="preserve"> Se requiere OCR para los tres</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CONTEXTO-CASO10.md</w:t>
            </w:r>
            <w:r>
              <w:rPr>
                <w:sz w:val="18"/>
                <w:szCs w:val="18"/>
              </w:rPr>
              <w:t xml:space="preserve"> §4</w:t>
            </w:r>
          </w:p>
        </w:tc>
        <w:tc>
          <w:tcPr>
            <w:tcW w:w="3116" w:type="dxa"/>
            <w:vAlign w:val="top"/>
          </w:tcPr>
          <w:p>
            <w:pPr>
              <w:spacing w:before="40" w:after="40"/>
              <w:rPr>
                <w:sz w:val="18"/>
              </w:rPr>
            </w:pPr>
            <w:r>
              <w:rPr>
                <w:sz w:val="18"/>
                <w:szCs w:val="18"/>
              </w:rPr>
              <w:t xml:space="preserve">Innovación tipo 4 = D1, tipo 5 = D2</w:t>
            </w:r>
          </w:p>
        </w:tc>
        <w:tc>
          <w:tcPr>
            <w:tcW w:w="3116" w:type="dxa"/>
            <w:vAlign w:val="top"/>
          </w:tcPr>
          <w:p>
            <w:pPr>
              <w:spacing w:before="40" w:after="40"/>
              <w:rPr>
                <w:sz w:val="18"/>
              </w:rPr>
            </w:pPr>
            <w:r>
              <w:rPr>
                <w:sz w:val="18"/>
                <w:szCs w:val="18"/>
              </w:rPr>
              <w:t xml:space="preserve">El plan (pág. 6/9) dice tipo 4 = D2, tipo 5 = D1</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BLOQUE2-INVESTIGACION-TECNICA.md</w:t>
            </w:r>
            <w:r>
              <w:rPr>
                <w:sz w:val="18"/>
                <w:szCs w:val="18"/>
              </w:rPr>
              <w:t xml:space="preserve"> §5.3</w:t>
            </w:r>
          </w:p>
        </w:tc>
        <w:tc>
          <w:tcPr>
            <w:tcW w:w="3116" w:type="dxa"/>
            <w:vAlign w:val="top"/>
          </w:tcPr>
          <w:p>
            <w:pPr>
              <w:spacing w:before="40" w:after="40"/>
              <w:rPr>
                <w:sz w:val="18"/>
              </w:rPr>
            </w:pPr>
            <w:r>
              <w:rPr>
                <w:sz w:val="18"/>
                <w:szCs w:val="18"/>
              </w:rPr>
              <w:t xml:space="preserve">«El rango térmico de −40 a +85 °C cubre sin problema las condiciones del norte»</w:t>
            </w:r>
          </w:p>
        </w:tc>
        <w:tc>
          <w:tcPr>
            <w:tcW w:w="3116" w:type="dxa"/>
            <w:vAlign w:val="top"/>
          </w:tcPr>
          <w:p>
            <w:pPr>
              <w:spacing w:before="40" w:after="40"/>
              <w:rPr>
                <w:sz w:val="18"/>
              </w:rPr>
            </w:pPr>
            <w:r>
              <w:rPr>
                <w:sz w:val="18"/>
                <w:szCs w:val="18"/>
              </w:rPr>
              <w:t xml:space="preserve">Cierto del Iridium Edge; </w:t>
            </w:r>
            <w:r>
              <w:rPr>
                <w:b/>
                <w:sz w:val="18"/>
                <w:szCs w:val="18"/>
              </w:rPr>
              <w:t xml:space="preserve">falso del conjunto</w:t>
            </w:r>
            <w:r>
              <w:rPr>
                <w:sz w:val="18"/>
                <w:szCs w:val="18"/>
              </w:rPr>
              <w:t xml:space="preserve">: el LINK 740 es −30/+70 y </w:t>
            </w:r>
            <w:r>
              <w:rPr>
                <w:b/>
                <w:sz w:val="18"/>
                <w:szCs w:val="18"/>
              </w:rPr>
              <w:t xml:space="preserve">IP20</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BLOQUE2-INVESTIGACION-TECNICA.md</w:t>
            </w:r>
            <w:r>
              <w:rPr>
                <w:sz w:val="18"/>
                <w:szCs w:val="18"/>
              </w:rPr>
              <w:t xml:space="preserve"> §5.5</w:t>
            </w:r>
          </w:p>
        </w:tc>
        <w:tc>
          <w:tcPr>
            <w:tcW w:w="3116" w:type="dxa"/>
            <w:vAlign w:val="top"/>
          </w:tcPr>
          <w:p>
            <w:pPr>
              <w:spacing w:before="40" w:after="40"/>
              <w:rPr>
                <w:sz w:val="18"/>
              </w:rPr>
            </w:pPr>
            <w:r>
              <w:rPr>
                <w:sz w:val="18"/>
                <w:szCs w:val="18"/>
              </w:rPr>
              <w:t xml:space="preserve">Plantea el umbral de 15 s del pánico como inconsistencia</w:t>
            </w:r>
          </w:p>
        </w:tc>
        <w:tc>
          <w:tcPr>
            <w:tcW w:w="3116" w:type="dxa"/>
            <w:vAlign w:val="top"/>
          </w:tcPr>
          <w:p>
            <w:pPr>
              <w:spacing w:before="40" w:after="40"/>
              <w:rPr>
                <w:sz w:val="18"/>
              </w:rPr>
            </w:pPr>
            <w:r>
              <w:rPr>
                <w:b/>
                <w:sz w:val="18"/>
                <w:szCs w:val="18"/>
              </w:rPr>
              <w:t xml:space="preserve">No lo es.</w:t>
            </w:r>
            <w:r>
              <w:rPr>
                <w:sz w:val="18"/>
                <w:szCs w:val="18"/>
              </w:rPr>
              <w:t xml:space="preserve"> RT-09.01 limita el umbral a «con cobertura»; el modo satelital es un hueco que declaramos</w:t>
            </w:r>
          </w:p>
        </w:tc>
      </w:tr>
      <w:tr>
        <w:trPr>
          <w:cantSplit/>
        </w:trPr>
        <w:tc>
          <w:tcPr>
            <w:tcW w:w="3116" w:type="dxa"/>
            <w:vAlign w:val="top"/>
          </w:tcPr>
          <w:p>
            <w:pPr>
              <w:spacing w:before="40" w:after="40"/>
              <w:rPr>
                <w:sz w:val="18"/>
              </w:rPr>
            </w:pPr>
            <w:r>
              <w:rPr>
                <w:rFonts w:ascii="Consolas" w:hAnsi="Consolas"/>
                <w:color w:val="5B21B6"/>
                <w:sz w:val="16"/>
                <w:szCs w:val="16"/>
                <w:shd w:val="clear" w:fill="F1F4F8"/>
              </w:rPr>
              <w:t xml:space="preserve">BLOQUE2-INVESTIGACION-TECNICA.md</w:t>
            </w:r>
            <w:r>
              <w:rPr>
                <w:sz w:val="18"/>
                <w:szCs w:val="18"/>
              </w:rPr>
              <w:t xml:space="preserve"> §5.3</w:t>
            </w:r>
          </w:p>
        </w:tc>
        <w:tc>
          <w:tcPr>
            <w:tcW w:w="3116" w:type="dxa"/>
            <w:vAlign w:val="top"/>
          </w:tcPr>
          <w:p>
            <w:pPr>
              <w:spacing w:before="40" w:after="40"/>
              <w:rPr>
                <w:sz w:val="18"/>
              </w:rPr>
            </w:pPr>
            <w:r>
              <w:rPr>
                <w:sz w:val="18"/>
                <w:szCs w:val="18"/>
              </w:rPr>
              <w:t xml:space="preserve">Cable de 270 mm</w:t>
            </w:r>
          </w:p>
        </w:tc>
        <w:tc>
          <w:tcPr>
            <w:tcW w:w="3116" w:type="dxa"/>
            <w:vAlign w:val="top"/>
          </w:tcPr>
          <w:p>
            <w:pPr>
              <w:spacing w:before="40" w:after="40"/>
              <w:rPr>
                <w:sz w:val="18"/>
              </w:rPr>
            </w:pPr>
            <w:r>
              <w:rPr>
                <w:sz w:val="18"/>
                <w:szCs w:val="18"/>
              </w:rPr>
              <w:t xml:space="preserve">270 mm es el cable flexible del Iridium Edge; el </w:t>
            </w:r>
            <w:r>
              <w:rPr>
                <w:b/>
                <w:sz w:val="18"/>
                <w:szCs w:val="18"/>
              </w:rPr>
              <w:t xml:space="preserve">cable adaptador para LINK es de 300 mm</w:t>
            </w:r>
          </w:p>
        </w:tc>
      </w:tr>
      <w:tr>
        <w:trPr>
          <w:cantSplit/>
        </w:trPr>
        <w:tc>
          <w:tcPr>
            <w:tcW w:w="3116" w:type="dxa"/>
            <w:vAlign w:val="top"/>
          </w:tcPr>
          <w:p>
            <w:pPr>
              <w:spacing w:before="40" w:after="40"/>
              <w:rPr>
                <w:sz w:val="18"/>
              </w:rPr>
            </w:pPr>
            <w:r>
              <w:rPr>
                <w:sz w:val="18"/>
                <w:szCs w:val="18"/>
              </w:rPr>
              <w:t xml:space="preserve">Conversación previa</w:t>
            </w:r>
          </w:p>
        </w:tc>
        <w:tc>
          <w:tcPr>
            <w:tcW w:w="3116" w:type="dxa"/>
            <w:vAlign w:val="top"/>
          </w:tcPr>
          <w:p>
            <w:pPr>
              <w:spacing w:before="40" w:after="40"/>
              <w:rPr>
                <w:sz w:val="18"/>
              </w:rPr>
            </w:pPr>
            <w:r>
              <w:rPr>
                <w:sz w:val="18"/>
                <w:szCs w:val="18"/>
              </w:rPr>
              <w:t xml:space="preserve">Sala de San Bernardo de 23 m²</w:t>
            </w:r>
          </w:p>
        </w:tc>
        <w:tc>
          <w:tcPr>
            <w:tcW w:w="3116" w:type="dxa"/>
            <w:vAlign w:val="top"/>
          </w:tcPr>
          <w:p>
            <w:pPr>
              <w:spacing w:before="40" w:after="40"/>
              <w:rPr>
                <w:sz w:val="18"/>
              </w:rPr>
            </w:pPr>
            <w:r>
              <w:rPr>
                <w:b/>
                <w:sz w:val="18"/>
                <w:szCs w:val="18"/>
              </w:rPr>
              <w:t xml:space="preserve">26 m²</w:t>
            </w:r>
            <w:r>
              <w:rPr>
                <w:sz w:val="18"/>
                <w:szCs w:val="18"/>
              </w:rPr>
              <w:t xml:space="preserve"> — Cap. 6 pág. 13/49 y RT-06.01 pág. 32/49</w:t>
            </w:r>
          </w:p>
        </w:tc>
      </w:tr>
    </w:tbl>
    <w:p>
      <w:pPr>
        <w:spacing w:before="0" w:after="100"/>
      </w:pPr>
    </w:p>
    <w:p>
      <w:pPr>
        <w:pStyle w:val="Heading2"/>
        <w:keepNext/>
        <w:spacing w:before="260" w:after="100"/>
      </w:pPr>
      <w:r>
        <w:t xml:space="preserve">11.3 Hallazgos nuevos de la ficha de Webfleet SAT</w:t>
      </w:r>
    </w:p>
    <w:p>
      <w:pPr>
        <w:ind w:left="340"/>
        <w:spacing w:before="20" w:after="60"/>
      </w:pPr>
      <w:r>
        <w:t xml:space="preserve">1.  </w:t>
      </w:r>
      <w:r>
        <w:t xml:space="preserve">Almacenamiento </w:t>
      </w:r>
      <w:r>
        <w:rPr>
          <w:b/>
        </w:rPr>
        <w:t xml:space="preserve">40 h</w:t>
      </w:r>
      <w:r>
        <w:t xml:space="preserve"> declarado, contra las 72 h de RT-03.10. Incumplimiento verificable.</w:t>
      </w:r>
    </w:p>
    <w:p>
      <w:pPr>
        <w:ind w:left="340"/>
        <w:spacing w:before="20" w:after="60"/>
      </w:pPr>
      <w:r>
        <w:t xml:space="preserve">2.  </w:t>
      </w:r>
      <w:r>
        <w:t xml:space="preserve">La conmutación a satélite ocurre </w:t>
      </w:r>
      <w:r>
        <w:rPr>
          <w:b/>
        </w:rPr>
        <w:t xml:space="preserve">tras 10 minutos</w:t>
      </w:r>
      <w:r>
        <w:t xml:space="preserve"> sin red móvil.</w:t>
      </w:r>
    </w:p>
    <w:p>
      <w:pPr>
        <w:ind w:left="340"/>
        <w:spacing w:before="20" w:after="60"/>
      </w:pPr>
      <w:r>
        <w:t xml:space="preserve">3.  </w:t>
      </w:r>
      <w:r>
        <w:t xml:space="preserve">En modo satelital la posición se actualiza en la plataforma </w:t>
      </w:r>
      <w:r>
        <w:rPr>
          <w:b/>
        </w:rPr>
        <w:t xml:space="preserve">cada 10 minutos</w:t>
      </w:r>
      <w:r>
        <w:t xml:space="preserve">, no cada minuto.</w:t>
      </w:r>
    </w:p>
    <w:p>
      <w:pPr>
        <w:ind w:left="340"/>
        <w:spacing w:before="20" w:after="60"/>
      </w:pPr>
      <w:r>
        <w:t xml:space="preserve">4.  </w:t>
      </w:r>
      <w:r>
        <w:rPr>
          <w:b/>
        </w:rPr>
        <w:t xml:space="preserve">La ficha no menciona botón de emergencia.</w:t>
      </w:r>
    </w:p>
    <w:p>
      <w:pPr>
        <w:ind w:left="340"/>
        <w:spacing w:before="20" w:after="60"/>
      </w:pPr>
      <w:r>
        <w:t xml:space="preserve">5.  </w:t>
      </w:r>
      <w:r>
        <w:t xml:space="preserve">El Iridium Edge </w:t>
      </w:r>
      <w:r>
        <w:rPr>
          <w:b/>
        </w:rPr>
        <w:t xml:space="preserve">ocupa el conector de E/S múltiple del LINK 7XX</w:t>
      </w:r>
      <w:r>
        <w:t xml:space="preserve"> — verificar competencia con</w:t>
      </w:r>
    </w:p>
    <w:p>
      <w:pPr>
        <w:spacing w:before="0" w:after="140" w:line="264" w:lineRule="auto"/>
      </w:pPr>
      <w:r>
        <w:t xml:space="preserve">el botón de pánico y el lector de identificación.</w:t>
      </w:r>
    </w:p>
    <w:p>
      <w:pPr>
        <w:pBdr>
          <w:bottom w:val="single" w:sz="6" w:space="1" w:color="C8D2DE"/>
        </w:pBdr>
        <w:spacing w:before="160" w:after="160"/>
      </w:pPr>
    </w:p>
    <w:p>
      <w:pPr>
        <w:pStyle w:val="Heading1"/>
        <w:keepNext/>
        <w:spacing w:before="320" w:after="120"/>
      </w:pPr>
      <w:r>
        <w:t xml:space="preserve">12. Qué falta y de quién depende</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2337"/>
        <w:gridCol w:w="2337"/>
        <w:gridCol w:w="2337"/>
        <w:gridCol w:w="2337"/>
      </w:tblGrid>
      <w:tr>
        <w:trPr>
          <w:tblHeader/>
          <w:cantSplit/>
        </w:trPr>
        <w:tc>
          <w:tcPr>
            <w:tcW w:w="2337" w:type="dxa"/>
            <w:shd w:val="clear" w:fill="EDF2F8"/>
            <w:vAlign w:val="top"/>
          </w:tcPr>
          <w:p>
            <w:pPr>
              <w:spacing w:before="40" w:after="40"/>
              <w:rPr>
                <w:sz w:val="18"/>
              </w:rPr>
            </w:pPr>
            <w:r>
              <w:rPr>
                <w:b/>
                <w:sz w:val="18"/>
                <w:szCs w:val="18"/>
              </w:rPr>
              <w:t xml:space="preserve">#</w:t>
            </w:r>
          </w:p>
        </w:tc>
        <w:tc>
          <w:tcPr>
            <w:tcW w:w="2337" w:type="dxa"/>
            <w:shd w:val="clear" w:fill="EDF2F8"/>
            <w:vAlign w:val="top"/>
          </w:tcPr>
          <w:p>
            <w:pPr>
              <w:spacing w:before="40" w:after="40"/>
              <w:rPr>
                <w:sz w:val="18"/>
              </w:rPr>
            </w:pPr>
            <w:r>
              <w:rPr>
                <w:b/>
                <w:sz w:val="18"/>
                <w:szCs w:val="18"/>
              </w:rPr>
              <w:t xml:space="preserve">Pendiente</w:t>
            </w:r>
          </w:p>
        </w:tc>
        <w:tc>
          <w:tcPr>
            <w:tcW w:w="2337" w:type="dxa"/>
            <w:shd w:val="clear" w:fill="EDF2F8"/>
            <w:vAlign w:val="top"/>
          </w:tcPr>
          <w:p>
            <w:pPr>
              <w:spacing w:before="40" w:after="40"/>
              <w:rPr>
                <w:sz w:val="18"/>
              </w:rPr>
            </w:pPr>
            <w:r>
              <w:rPr>
                <w:b/>
                <w:sz w:val="18"/>
                <w:szCs w:val="18"/>
              </w:rPr>
              <w:t xml:space="preserve">Depende de</w:t>
            </w:r>
          </w:p>
        </w:tc>
        <w:tc>
          <w:tcPr>
            <w:tcW w:w="2337" w:type="dxa"/>
            <w:shd w:val="clear" w:fill="EDF2F8"/>
            <w:vAlign w:val="top"/>
          </w:tcPr>
          <w:p>
            <w:pPr>
              <w:spacing w:before="40" w:after="40"/>
              <w:rPr>
                <w:sz w:val="18"/>
              </w:rPr>
            </w:pPr>
            <w:r>
              <w:rPr>
                <w:b/>
                <w:sz w:val="18"/>
                <w:szCs w:val="18"/>
              </w:rPr>
              <w:t xml:space="preserve">Fecha</w:t>
            </w:r>
          </w:p>
        </w:tc>
      </w:tr>
      <w:tr>
        <w:trPr>
          <w:cantSplit/>
        </w:trPr>
        <w:tc>
          <w:tcPr>
            <w:tcW w:w="2337" w:type="dxa"/>
            <w:vAlign w:val="top"/>
          </w:tcPr>
          <w:p>
            <w:pPr>
              <w:spacing w:before="40" w:after="40"/>
              <w:rPr>
                <w:sz w:val="18"/>
              </w:rPr>
            </w:pPr>
            <w:r>
              <w:rPr>
                <w:sz w:val="18"/>
                <w:szCs w:val="18"/>
              </w:rPr>
              <w:t xml:space="preserve">1</w:t>
            </w:r>
          </w:p>
        </w:tc>
        <w:tc>
          <w:tcPr>
            <w:tcW w:w="2337" w:type="dxa"/>
            <w:vAlign w:val="top"/>
          </w:tcPr>
          <w:p>
            <w:pPr>
              <w:spacing w:before="40" w:after="40"/>
              <w:rPr>
                <w:sz w:val="18"/>
              </w:rPr>
            </w:pPr>
            <w:r>
              <w:rPr>
                <w:sz w:val="18"/>
                <w:szCs w:val="18"/>
              </w:rPr>
              <w:t xml:space="preserve">Enviar C-01 a C-11</w:t>
            </w:r>
          </w:p>
        </w:tc>
        <w:tc>
          <w:tcPr>
            <w:tcW w:w="2337" w:type="dxa"/>
            <w:vAlign w:val="top"/>
          </w:tcPr>
          <w:p>
            <w:pPr>
              <w:spacing w:before="40" w:after="40"/>
              <w:rPr>
                <w:sz w:val="18"/>
              </w:rPr>
            </w:pPr>
            <w:r>
              <w:rPr>
                <w:sz w:val="18"/>
                <w:szCs w:val="18"/>
              </w:rPr>
              <w:t xml:space="preserve">D4 + D1 (custodia de formalidad)</w:t>
            </w:r>
          </w:p>
        </w:tc>
        <w:tc>
          <w:tcPr>
            <w:tcW w:w="2337" w:type="dxa"/>
            <w:vAlign w:val="top"/>
          </w:tcPr>
          <w:p>
            <w:pPr>
              <w:spacing w:before="40" w:after="40"/>
              <w:rPr>
                <w:sz w:val="18"/>
              </w:rPr>
            </w:pPr>
            <w:r>
              <w:rPr>
                <w:b/>
                <w:sz w:val="18"/>
                <w:szCs w:val="18"/>
              </w:rPr>
              <w:t xml:space="preserve">01-09</w:t>
            </w:r>
          </w:p>
        </w:tc>
      </w:tr>
      <w:tr>
        <w:trPr>
          <w:cantSplit/>
        </w:trPr>
        <w:tc>
          <w:tcPr>
            <w:tcW w:w="2337" w:type="dxa"/>
            <w:vAlign w:val="top"/>
          </w:tcPr>
          <w:p>
            <w:pPr>
              <w:spacing w:before="40" w:after="40"/>
              <w:rPr>
                <w:sz w:val="18"/>
              </w:rPr>
            </w:pPr>
            <w:r>
              <w:rPr>
                <w:sz w:val="18"/>
                <w:szCs w:val="18"/>
              </w:rPr>
              <w:t xml:space="preserve">2</w:t>
            </w:r>
          </w:p>
        </w:tc>
        <w:tc>
          <w:tcPr>
            <w:tcW w:w="2337" w:type="dxa"/>
            <w:vAlign w:val="top"/>
          </w:tcPr>
          <w:p>
            <w:pPr>
              <w:spacing w:before="40" w:after="40"/>
              <w:rPr>
                <w:sz w:val="18"/>
              </w:rPr>
            </w:pPr>
            <w:r>
              <w:rPr>
                <w:sz w:val="18"/>
                <w:szCs w:val="18"/>
              </w:rPr>
              <w:t xml:space="preserve">Tabla de emplazamiento</w:t>
            </w:r>
          </w:p>
        </w:tc>
        <w:tc>
          <w:tcPr>
            <w:tcW w:w="2337" w:type="dxa"/>
            <w:vAlign w:val="top"/>
          </w:tcPr>
          <w:p>
            <w:pPr>
              <w:spacing w:before="40" w:after="40"/>
              <w:rPr>
                <w:sz w:val="18"/>
              </w:rPr>
            </w:pPr>
            <w:r>
              <w:rPr>
                <w:b/>
                <w:sz w:val="18"/>
                <w:szCs w:val="18"/>
              </w:rPr>
              <w:t xml:space="preserve">D3</w:t>
            </w:r>
            <w:r>
              <w:rPr>
                <w:sz w:val="18"/>
                <w:szCs w:val="18"/>
              </w:rPr>
              <w:t xml:space="preserve"> entrega inventario de componentes lógicos</w:t>
            </w:r>
          </w:p>
        </w:tc>
        <w:tc>
          <w:tcPr>
            <w:tcW w:w="2337" w:type="dxa"/>
            <w:vAlign w:val="top"/>
          </w:tcPr>
          <w:p>
            <w:pPr>
              <w:spacing w:before="40" w:after="40"/>
              <w:rPr>
                <w:sz w:val="18"/>
              </w:rPr>
            </w:pPr>
            <w:r>
              <w:rPr>
                <w:sz w:val="18"/>
                <w:szCs w:val="18"/>
              </w:rPr>
              <w:t xml:space="preserve">S4, 04-09</w:t>
            </w:r>
          </w:p>
        </w:tc>
      </w:tr>
      <w:tr>
        <w:trPr>
          <w:cantSplit/>
        </w:trPr>
        <w:tc>
          <w:tcPr>
            <w:tcW w:w="2337" w:type="dxa"/>
            <w:vAlign w:val="top"/>
          </w:tcPr>
          <w:p>
            <w:pPr>
              <w:spacing w:before="40" w:after="40"/>
              <w:rPr>
                <w:sz w:val="18"/>
              </w:rPr>
            </w:pPr>
            <w:r>
              <w:rPr>
                <w:sz w:val="18"/>
                <w:szCs w:val="18"/>
              </w:rPr>
              <w:t xml:space="preserve">3</w:t>
            </w:r>
          </w:p>
        </w:tc>
        <w:tc>
          <w:tcPr>
            <w:tcW w:w="2337" w:type="dxa"/>
            <w:vAlign w:val="top"/>
          </w:tcPr>
          <w:p>
            <w:pPr>
              <w:spacing w:before="40" w:after="40"/>
              <w:rPr>
                <w:sz w:val="18"/>
              </w:rPr>
            </w:pPr>
            <w:r>
              <w:rPr>
                <w:sz w:val="18"/>
                <w:szCs w:val="18"/>
              </w:rPr>
              <w:t xml:space="preserve">Volumen anual de series de posición y de evidencia de jornada</w:t>
            </w:r>
          </w:p>
        </w:tc>
        <w:tc>
          <w:tcPr>
            <w:tcW w:w="2337" w:type="dxa"/>
            <w:vAlign w:val="top"/>
          </w:tcPr>
          <w:p>
            <w:pPr>
              <w:spacing w:before="40" w:after="40"/>
              <w:rPr>
                <w:sz w:val="18"/>
              </w:rPr>
            </w:pPr>
            <w:r>
              <w:rPr>
                <w:b/>
                <w:sz w:val="18"/>
                <w:szCs w:val="18"/>
              </w:rPr>
              <w:t xml:space="preserve">D3</w:t>
            </w:r>
            <w:r>
              <w:rPr>
                <w:sz w:val="18"/>
                <w:szCs w:val="18"/>
              </w:rPr>
              <w:t xml:space="preserve"> (política de agregación y retención)</w:t>
            </w:r>
          </w:p>
        </w:tc>
        <w:tc>
          <w:tcPr>
            <w:tcW w:w="2337" w:type="dxa"/>
            <w:vAlign w:val="top"/>
          </w:tcPr>
          <w:p>
            <w:pPr>
              <w:spacing w:before="40" w:after="40"/>
              <w:rPr>
                <w:sz w:val="18"/>
              </w:rPr>
            </w:pPr>
            <w:r>
              <w:rPr>
                <w:sz w:val="18"/>
                <w:szCs w:val="18"/>
              </w:rPr>
              <w:t xml:space="preserve">S4, 04-09</w:t>
            </w:r>
          </w:p>
        </w:tc>
      </w:tr>
      <w:tr>
        <w:trPr>
          <w:cantSplit/>
        </w:trPr>
        <w:tc>
          <w:tcPr>
            <w:tcW w:w="2337" w:type="dxa"/>
            <w:vAlign w:val="top"/>
          </w:tcPr>
          <w:p>
            <w:pPr>
              <w:spacing w:before="40" w:after="40"/>
              <w:rPr>
                <w:sz w:val="18"/>
              </w:rPr>
            </w:pPr>
            <w:r>
              <w:rPr>
                <w:sz w:val="18"/>
                <w:szCs w:val="18"/>
              </w:rPr>
              <w:t xml:space="preserve">4</w:t>
            </w:r>
          </w:p>
        </w:tc>
        <w:tc>
          <w:tcPr>
            <w:tcW w:w="2337" w:type="dxa"/>
            <w:vAlign w:val="top"/>
          </w:tcPr>
          <w:p>
            <w:pPr>
              <w:spacing w:before="40" w:after="40"/>
              <w:rPr>
                <w:sz w:val="18"/>
              </w:rPr>
            </w:pPr>
            <w:r>
              <w:rPr>
                <w:sz w:val="18"/>
                <w:szCs w:val="18"/>
              </w:rPr>
              <w:t xml:space="preserve">Tabla RT-03.13: funciones NO disponibles en modo desconectado</w:t>
            </w:r>
          </w:p>
        </w:tc>
        <w:tc>
          <w:tcPr>
            <w:tcW w:w="2337" w:type="dxa"/>
            <w:vAlign w:val="top"/>
          </w:tcPr>
          <w:p>
            <w:pPr>
              <w:spacing w:before="40" w:after="40"/>
              <w:rPr>
                <w:sz w:val="18"/>
              </w:rPr>
            </w:pPr>
            <w:r>
              <w:rPr>
                <w:sz w:val="18"/>
                <w:szCs w:val="18"/>
              </w:rPr>
              <w:t xml:space="preserve">D4 + D3</w:t>
            </w:r>
          </w:p>
        </w:tc>
        <w:tc>
          <w:tcPr>
            <w:tcW w:w="2337" w:type="dxa"/>
            <w:vAlign w:val="top"/>
          </w:tcPr>
          <w:p>
            <w:pPr>
              <w:spacing w:before="40" w:after="40"/>
              <w:rPr>
                <w:sz w:val="18"/>
              </w:rPr>
            </w:pPr>
            <w:r>
              <w:rPr>
                <w:sz w:val="18"/>
                <w:szCs w:val="18"/>
              </w:rPr>
              <w:t xml:space="preserve">S4, 04-09</w:t>
            </w:r>
          </w:p>
        </w:tc>
      </w:tr>
      <w:tr>
        <w:trPr>
          <w:cantSplit/>
        </w:trPr>
        <w:tc>
          <w:tcPr>
            <w:tcW w:w="2337" w:type="dxa"/>
            <w:vAlign w:val="top"/>
          </w:tcPr>
          <w:p>
            <w:pPr>
              <w:spacing w:before="40" w:after="40"/>
              <w:rPr>
                <w:sz w:val="18"/>
              </w:rPr>
            </w:pPr>
            <w:r>
              <w:rPr>
                <w:sz w:val="18"/>
                <w:szCs w:val="18"/>
              </w:rPr>
              <w:t xml:space="preserve">5</w:t>
            </w:r>
          </w:p>
        </w:tc>
        <w:tc>
          <w:tcPr>
            <w:tcW w:w="2337" w:type="dxa"/>
            <w:vAlign w:val="top"/>
          </w:tcPr>
          <w:p>
            <w:pPr>
              <w:spacing w:before="40" w:after="40"/>
              <w:rPr>
                <w:sz w:val="18"/>
              </w:rPr>
            </w:pPr>
            <w:r>
              <w:rPr>
                <w:sz w:val="18"/>
                <w:szCs w:val="18"/>
              </w:rPr>
              <w:t xml:space="preserve">Cerrar candidato de unidad telemática y confirmar ciclo de vida a 56 meses</w:t>
            </w:r>
          </w:p>
        </w:tc>
        <w:tc>
          <w:tcPr>
            <w:tcW w:w="2337" w:type="dxa"/>
            <w:vAlign w:val="top"/>
          </w:tcPr>
          <w:p>
            <w:pPr>
              <w:spacing w:before="40" w:after="40"/>
              <w:rPr>
                <w:sz w:val="18"/>
              </w:rPr>
            </w:pPr>
            <w:r>
              <w:rPr>
                <w:sz w:val="18"/>
                <w:szCs w:val="18"/>
              </w:rPr>
              <w:t xml:space="preserve">D4 + cotización</w:t>
            </w:r>
          </w:p>
        </w:tc>
        <w:tc>
          <w:tcPr>
            <w:tcW w:w="2337" w:type="dxa"/>
            <w:vAlign w:val="top"/>
          </w:tcPr>
          <w:p>
            <w:pPr>
              <w:spacing w:before="40" w:after="40"/>
              <w:rPr>
                <w:sz w:val="18"/>
              </w:rPr>
            </w:pPr>
            <w:r>
              <w:rPr>
                <w:sz w:val="18"/>
                <w:szCs w:val="18"/>
              </w:rPr>
              <w:t xml:space="preserve">03-09</w:t>
            </w:r>
          </w:p>
        </w:tc>
      </w:tr>
      <w:tr>
        <w:trPr>
          <w:cantSplit/>
        </w:trPr>
        <w:tc>
          <w:tcPr>
            <w:tcW w:w="2337" w:type="dxa"/>
            <w:vAlign w:val="top"/>
          </w:tcPr>
          <w:p>
            <w:pPr>
              <w:spacing w:before="40" w:after="40"/>
              <w:rPr>
                <w:sz w:val="18"/>
              </w:rPr>
            </w:pPr>
            <w:r>
              <w:rPr>
                <w:sz w:val="18"/>
                <w:szCs w:val="18"/>
              </w:rPr>
              <w:t xml:space="preserve">6</w:t>
            </w:r>
          </w:p>
        </w:tc>
        <w:tc>
          <w:tcPr>
            <w:tcW w:w="2337" w:type="dxa"/>
            <w:vAlign w:val="top"/>
          </w:tcPr>
          <w:p>
            <w:pPr>
              <w:spacing w:before="40" w:after="40"/>
              <w:rPr>
                <w:sz w:val="18"/>
              </w:rPr>
            </w:pPr>
            <w:r>
              <w:rPr>
                <w:sz w:val="18"/>
                <w:szCs w:val="18"/>
              </w:rPr>
              <w:t xml:space="preserve">Ficha T-19 tipo 2 redactada con los 7 elementos del Art. 29°</w:t>
            </w:r>
          </w:p>
        </w:tc>
        <w:tc>
          <w:tcPr>
            <w:tcW w:w="2337" w:type="dxa"/>
            <w:vAlign w:val="top"/>
          </w:tcPr>
          <w:p>
            <w:pPr>
              <w:spacing w:before="40" w:after="40"/>
              <w:rPr>
                <w:sz w:val="18"/>
              </w:rPr>
            </w:pPr>
            <w:r>
              <w:rPr>
                <w:sz w:val="18"/>
                <w:szCs w:val="18"/>
              </w:rPr>
              <w:t xml:space="preserve">D4, citando la de D2</w:t>
            </w:r>
          </w:p>
        </w:tc>
        <w:tc>
          <w:tcPr>
            <w:tcW w:w="2337" w:type="dxa"/>
            <w:vAlign w:val="top"/>
          </w:tcPr>
          <w:p>
            <w:pPr>
              <w:spacing w:before="40" w:after="40"/>
              <w:rPr>
                <w:sz w:val="18"/>
              </w:rPr>
            </w:pPr>
            <w:r>
              <w:rPr>
                <w:sz w:val="18"/>
                <w:szCs w:val="18"/>
              </w:rPr>
              <w:t xml:space="preserve">04-09</w:t>
            </w:r>
          </w:p>
        </w:tc>
      </w:tr>
      <w:tr>
        <w:trPr>
          <w:cantSplit/>
        </w:trPr>
        <w:tc>
          <w:tcPr>
            <w:tcW w:w="2337" w:type="dxa"/>
            <w:vAlign w:val="top"/>
          </w:tcPr>
          <w:p>
            <w:pPr>
              <w:spacing w:before="40" w:after="40"/>
              <w:rPr>
                <w:sz w:val="18"/>
              </w:rPr>
            </w:pPr>
            <w:r>
              <w:rPr>
                <w:sz w:val="18"/>
                <w:szCs w:val="18"/>
              </w:rPr>
              <w:t xml:space="preserve">7</w:t>
            </w:r>
          </w:p>
        </w:tc>
        <w:tc>
          <w:tcPr>
            <w:tcW w:w="2337" w:type="dxa"/>
            <w:vAlign w:val="top"/>
          </w:tcPr>
          <w:p>
            <w:pPr>
              <w:spacing w:before="40" w:after="40"/>
              <w:rPr>
                <w:sz w:val="18"/>
              </w:rPr>
            </w:pPr>
            <w:r>
              <w:rPr>
                <w:sz w:val="18"/>
                <w:szCs w:val="18"/>
              </w:rPr>
              <w:t xml:space="preserve">Verificar NCh Elec. 2777 y NCh 2527 en el INN</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03-09</w:t>
            </w:r>
          </w:p>
        </w:tc>
      </w:tr>
      <w:tr>
        <w:trPr>
          <w:cantSplit/>
        </w:trPr>
        <w:tc>
          <w:tcPr>
            <w:tcW w:w="2337" w:type="dxa"/>
            <w:vAlign w:val="top"/>
          </w:tcPr>
          <w:p>
            <w:pPr>
              <w:spacing w:before="40" w:after="40"/>
              <w:rPr>
                <w:sz w:val="18"/>
              </w:rPr>
            </w:pPr>
            <w:r>
              <w:rPr>
                <w:sz w:val="18"/>
                <w:szCs w:val="18"/>
              </w:rPr>
              <w:t xml:space="preserve">8</w:t>
            </w:r>
          </w:p>
        </w:tc>
        <w:tc>
          <w:tcPr>
            <w:tcW w:w="2337" w:type="dxa"/>
            <w:vAlign w:val="top"/>
          </w:tcPr>
          <w:p>
            <w:pPr>
              <w:spacing w:before="40" w:after="40"/>
              <w:rPr>
                <w:sz w:val="18"/>
              </w:rPr>
            </w:pPr>
            <w:r>
              <w:rPr>
                <w:sz w:val="18"/>
                <w:szCs w:val="18"/>
              </w:rPr>
              <w:t xml:space="preserve">Verificar Decreto N.º 80/2004 y régimen chileno de tacógrafo en fuente oficial</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03-09</w:t>
            </w:r>
          </w:p>
        </w:tc>
      </w:tr>
      <w:tr>
        <w:trPr>
          <w:cantSplit/>
        </w:trPr>
        <w:tc>
          <w:tcPr>
            <w:tcW w:w="2337" w:type="dxa"/>
            <w:vAlign w:val="top"/>
          </w:tcPr>
          <w:p>
            <w:pPr>
              <w:spacing w:before="40" w:after="40"/>
              <w:rPr>
                <w:sz w:val="18"/>
              </w:rPr>
            </w:pPr>
            <w:r>
              <w:rPr>
                <w:sz w:val="18"/>
                <w:szCs w:val="18"/>
              </w:rPr>
              <w:t xml:space="preserve">9</w:t>
            </w:r>
          </w:p>
        </w:tc>
        <w:tc>
          <w:tcPr>
            <w:tcW w:w="2337" w:type="dxa"/>
            <w:vAlign w:val="top"/>
          </w:tcPr>
          <w:p>
            <w:pPr>
              <w:spacing w:before="40" w:after="40"/>
              <w:rPr>
                <w:sz w:val="18"/>
              </w:rPr>
            </w:pPr>
            <w:r>
              <w:rPr>
                <w:sz w:val="18"/>
                <w:szCs w:val="18"/>
              </w:rPr>
              <w:t xml:space="preserve">ADR con alternativas comparadas (RT-02.04)</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05-09</w:t>
            </w:r>
          </w:p>
        </w:tc>
      </w:tr>
      <w:tr>
        <w:trPr>
          <w:cantSplit/>
        </w:trPr>
        <w:tc>
          <w:tcPr>
            <w:tcW w:w="2337" w:type="dxa"/>
            <w:vAlign w:val="top"/>
          </w:tcPr>
          <w:p>
            <w:pPr>
              <w:spacing w:before="40" w:after="40"/>
              <w:rPr>
                <w:sz w:val="18"/>
              </w:rPr>
            </w:pPr>
            <w:r>
              <w:rPr>
                <w:sz w:val="18"/>
                <w:szCs w:val="18"/>
              </w:rPr>
              <w:t xml:space="preserve">10</w:t>
            </w:r>
          </w:p>
        </w:tc>
        <w:tc>
          <w:tcPr>
            <w:tcW w:w="2337" w:type="dxa"/>
            <w:vAlign w:val="top"/>
          </w:tcPr>
          <w:p>
            <w:pPr>
              <w:spacing w:before="40" w:after="40"/>
              <w:rPr>
                <w:sz w:val="18"/>
              </w:rPr>
            </w:pPr>
            <w:r>
              <w:rPr>
                <w:sz w:val="18"/>
                <w:szCs w:val="18"/>
              </w:rPr>
              <w:t xml:space="preserve">Tabla RT-07.13: frecuencia, retención y tiempo de restauración por dominio de datos</w:t>
            </w:r>
          </w:p>
        </w:tc>
        <w:tc>
          <w:tcPr>
            <w:tcW w:w="2337" w:type="dxa"/>
            <w:vAlign w:val="top"/>
          </w:tcPr>
          <w:p>
            <w:pPr>
              <w:spacing w:before="40" w:after="40"/>
              <w:rPr>
                <w:sz w:val="18"/>
              </w:rPr>
            </w:pPr>
            <w:r>
              <w:rPr>
                <w:sz w:val="18"/>
                <w:szCs w:val="18"/>
              </w:rPr>
              <w:t xml:space="preserve">D4 + D3</w:t>
            </w:r>
          </w:p>
        </w:tc>
        <w:tc>
          <w:tcPr>
            <w:tcW w:w="2337" w:type="dxa"/>
            <w:vAlign w:val="top"/>
          </w:tcPr>
          <w:p>
            <w:pPr>
              <w:spacing w:before="40" w:after="40"/>
              <w:rPr>
                <w:sz w:val="18"/>
              </w:rPr>
            </w:pPr>
            <w:r>
              <w:rPr>
                <w:sz w:val="18"/>
                <w:szCs w:val="18"/>
              </w:rPr>
              <w:t xml:space="preserve">S4, 04-09</w:t>
            </w:r>
          </w:p>
        </w:tc>
      </w:tr>
      <w:tr>
        <w:trPr>
          <w:cantSplit/>
        </w:trPr>
        <w:tc>
          <w:tcPr>
            <w:tcW w:w="2337" w:type="dxa"/>
            <w:vAlign w:val="top"/>
          </w:tcPr>
          <w:p>
            <w:pPr>
              <w:spacing w:before="40" w:after="40"/>
              <w:rPr>
                <w:sz w:val="18"/>
              </w:rPr>
            </w:pPr>
            <w:r>
              <w:rPr>
                <w:sz w:val="18"/>
                <w:szCs w:val="18"/>
              </w:rPr>
              <w:t xml:space="preserve">11</w:t>
            </w:r>
          </w:p>
        </w:tc>
        <w:tc>
          <w:tcPr>
            <w:tcW w:w="2337" w:type="dxa"/>
            <w:vAlign w:val="top"/>
          </w:tcPr>
          <w:p>
            <w:pPr>
              <w:spacing w:before="40" w:after="40"/>
              <w:rPr>
                <w:sz w:val="18"/>
              </w:rPr>
            </w:pPr>
            <w:r>
              <w:rPr>
                <w:sz w:val="18"/>
                <w:szCs w:val="18"/>
              </w:rPr>
              <w:t xml:space="preserve">Tabla RT-10.08: comportamiento ante cada dependencia externa que no responde</w:t>
            </w:r>
          </w:p>
        </w:tc>
        <w:tc>
          <w:tcPr>
            <w:tcW w:w="2337" w:type="dxa"/>
            <w:vAlign w:val="top"/>
          </w:tcPr>
          <w:p>
            <w:pPr>
              <w:spacing w:before="40" w:after="40"/>
              <w:rPr>
                <w:sz w:val="18"/>
              </w:rPr>
            </w:pPr>
            <w:r>
              <w:rPr>
                <w:sz w:val="18"/>
                <w:szCs w:val="18"/>
              </w:rPr>
              <w:t xml:space="preserve">D4 + D2</w:t>
            </w:r>
          </w:p>
        </w:tc>
        <w:tc>
          <w:tcPr>
            <w:tcW w:w="2337" w:type="dxa"/>
            <w:vAlign w:val="top"/>
          </w:tcPr>
          <w:p>
            <w:pPr>
              <w:spacing w:before="40" w:after="40"/>
              <w:rPr>
                <w:sz w:val="18"/>
              </w:rPr>
            </w:pPr>
            <w:r>
              <w:rPr>
                <w:sz w:val="18"/>
                <w:szCs w:val="18"/>
              </w:rPr>
              <w:t xml:space="preserve">05-09</w:t>
            </w:r>
          </w:p>
        </w:tc>
      </w:tr>
      <w:tr>
        <w:trPr>
          <w:cantSplit/>
        </w:trPr>
        <w:tc>
          <w:tcPr>
            <w:tcW w:w="2337" w:type="dxa"/>
            <w:vAlign w:val="top"/>
          </w:tcPr>
          <w:p>
            <w:pPr>
              <w:spacing w:before="40" w:after="40"/>
              <w:rPr>
                <w:sz w:val="18"/>
              </w:rPr>
            </w:pPr>
            <w:r>
              <w:rPr>
                <w:sz w:val="18"/>
                <w:szCs w:val="18"/>
              </w:rPr>
              <w:t xml:space="preserve">12</w:t>
            </w:r>
          </w:p>
        </w:tc>
        <w:tc>
          <w:tcPr>
            <w:tcW w:w="2337" w:type="dxa"/>
            <w:vAlign w:val="top"/>
          </w:tcPr>
          <w:p>
            <w:pPr>
              <w:spacing w:before="40" w:after="40"/>
              <w:rPr>
                <w:sz w:val="18"/>
              </w:rPr>
            </w:pPr>
            <w:r>
              <w:rPr>
                <w:sz w:val="18"/>
                <w:szCs w:val="18"/>
              </w:rPr>
              <w:t xml:space="preserve">Estimación de personas usuarias concurrentes internas y externas (RT-09.01)</w:t>
            </w:r>
          </w:p>
        </w:tc>
        <w:tc>
          <w:tcPr>
            <w:tcW w:w="2337" w:type="dxa"/>
            <w:vAlign w:val="top"/>
          </w:tcPr>
          <w:p>
            <w:pPr>
              <w:spacing w:before="40" w:after="40"/>
              <w:rPr>
                <w:sz w:val="18"/>
              </w:rPr>
            </w:pPr>
            <w:r>
              <w:rPr>
                <w:sz w:val="18"/>
                <w:szCs w:val="18"/>
              </w:rPr>
              <w:t xml:space="preserve">D4 + D2</w:t>
            </w:r>
          </w:p>
        </w:tc>
        <w:tc>
          <w:tcPr>
            <w:tcW w:w="2337" w:type="dxa"/>
            <w:vAlign w:val="top"/>
          </w:tcPr>
          <w:p>
            <w:pPr>
              <w:spacing w:before="40" w:after="40"/>
              <w:rPr>
                <w:sz w:val="18"/>
              </w:rPr>
            </w:pPr>
            <w:r>
              <w:rPr>
                <w:sz w:val="18"/>
                <w:szCs w:val="18"/>
              </w:rPr>
              <w:t xml:space="preserve">04-09</w:t>
            </w:r>
          </w:p>
        </w:tc>
      </w:tr>
      <w:tr>
        <w:trPr>
          <w:cantSplit/>
        </w:trPr>
        <w:tc>
          <w:tcPr>
            <w:tcW w:w="2337" w:type="dxa"/>
            <w:vAlign w:val="top"/>
          </w:tcPr>
          <w:p>
            <w:pPr>
              <w:spacing w:before="40" w:after="40"/>
              <w:rPr>
                <w:sz w:val="18"/>
              </w:rPr>
            </w:pPr>
            <w:r>
              <w:rPr>
                <w:sz w:val="18"/>
                <w:szCs w:val="18"/>
              </w:rPr>
              <w:t xml:space="preserve">13</w:t>
            </w:r>
          </w:p>
        </w:tc>
        <w:tc>
          <w:tcPr>
            <w:tcW w:w="2337" w:type="dxa"/>
            <w:vAlign w:val="top"/>
          </w:tcPr>
          <w:p>
            <w:pPr>
              <w:spacing w:before="40" w:after="40"/>
              <w:rPr>
                <w:sz w:val="18"/>
              </w:rPr>
            </w:pPr>
            <w:r>
              <w:rPr>
                <w:sz w:val="18"/>
                <w:szCs w:val="18"/>
              </w:rPr>
              <w:t xml:space="preserve">Dimensionamiento a 3× la volumetría inicial (RT-09.03), superior a la proyección del caso</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05-09</w:t>
            </w:r>
          </w:p>
        </w:tc>
      </w:tr>
      <w:tr>
        <w:trPr>
          <w:cantSplit/>
        </w:trPr>
        <w:tc>
          <w:tcPr>
            <w:tcW w:w="2337" w:type="dxa"/>
            <w:vAlign w:val="top"/>
          </w:tcPr>
          <w:p>
            <w:pPr>
              <w:spacing w:before="40" w:after="40"/>
              <w:rPr>
                <w:sz w:val="18"/>
              </w:rPr>
            </w:pPr>
            <w:r>
              <w:rPr>
                <w:sz w:val="18"/>
                <w:szCs w:val="18"/>
              </w:rPr>
              <w:t xml:space="preserve">14</w:t>
            </w:r>
          </w:p>
        </w:tc>
        <w:tc>
          <w:tcPr>
            <w:tcW w:w="2337" w:type="dxa"/>
            <w:vAlign w:val="top"/>
          </w:tcPr>
          <w:p>
            <w:pPr>
              <w:spacing w:before="40" w:after="40"/>
              <w:rPr>
                <w:sz w:val="18"/>
              </w:rPr>
            </w:pPr>
            <w:r>
              <w:rPr>
                <w:sz w:val="18"/>
                <w:szCs w:val="18"/>
              </w:rPr>
              <w:t xml:space="preserve">Calendario de las dos conmutaciones reales anuales (RT-07.07) contra las ventanas congeladas</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05-09</w:t>
            </w:r>
          </w:p>
        </w:tc>
      </w:tr>
      <w:tr>
        <w:trPr>
          <w:cantSplit/>
        </w:trPr>
        <w:tc>
          <w:tcPr>
            <w:tcW w:w="2337" w:type="dxa"/>
            <w:vAlign w:val="top"/>
          </w:tcPr>
          <w:p>
            <w:pPr>
              <w:spacing w:before="40" w:after="40"/>
              <w:rPr>
                <w:sz w:val="18"/>
              </w:rPr>
            </w:pPr>
            <w:r>
              <w:rPr>
                <w:sz w:val="18"/>
                <w:szCs w:val="18"/>
              </w:rPr>
              <w:t xml:space="preserve">15</w:t>
            </w:r>
          </w:p>
        </w:tc>
        <w:tc>
          <w:tcPr>
            <w:tcW w:w="2337" w:type="dxa"/>
            <w:vAlign w:val="top"/>
          </w:tcPr>
          <w:p>
            <w:pPr>
              <w:spacing w:before="40" w:after="40"/>
              <w:rPr>
                <w:sz w:val="18"/>
              </w:rPr>
            </w:pPr>
            <w:r>
              <w:rPr>
                <w:sz w:val="18"/>
                <w:szCs w:val="18"/>
              </w:rPr>
              <w:t xml:space="preserve">Plano de distribución interna de San Bernardo (RT-06.03), entregable gráfico</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05-09</w:t>
            </w:r>
          </w:p>
        </w:tc>
      </w:tr>
      <w:tr>
        <w:trPr>
          <w:cantSplit/>
        </w:trPr>
        <w:tc>
          <w:tcPr>
            <w:tcW w:w="2337" w:type="dxa"/>
            <w:vAlign w:val="top"/>
          </w:tcPr>
          <w:p>
            <w:pPr>
              <w:spacing w:before="40" w:after="40"/>
              <w:rPr>
                <w:sz w:val="18"/>
              </w:rPr>
            </w:pPr>
            <w:r>
              <w:rPr>
                <w:sz w:val="18"/>
                <w:szCs w:val="18"/>
              </w:rPr>
              <w:t xml:space="preserve">16</w:t>
            </w:r>
          </w:p>
        </w:tc>
        <w:tc>
          <w:tcPr>
            <w:tcW w:w="2337" w:type="dxa"/>
            <w:vAlign w:val="top"/>
          </w:tcPr>
          <w:p>
            <w:pPr>
              <w:spacing w:before="40" w:after="40"/>
              <w:rPr>
                <w:sz w:val="18"/>
              </w:rPr>
            </w:pPr>
            <w:r>
              <w:rPr>
                <w:sz w:val="18"/>
                <w:szCs w:val="18"/>
              </w:rPr>
              <w:t xml:space="preserve">Especificación de puestos de trabajo de la torre 24×7 (RT-08.07 a RT-08.09)</w:t>
            </w:r>
          </w:p>
        </w:tc>
        <w:tc>
          <w:tcPr>
            <w:tcW w:w="2337" w:type="dxa"/>
            <w:vAlign w:val="top"/>
          </w:tcPr>
          <w:p>
            <w:pPr>
              <w:spacing w:before="40" w:after="40"/>
              <w:rPr>
                <w:sz w:val="18"/>
              </w:rPr>
            </w:pPr>
            <w:r>
              <w:rPr>
                <w:sz w:val="18"/>
                <w:szCs w:val="18"/>
              </w:rPr>
              <w:t xml:space="preserve">D4</w:t>
            </w:r>
          </w:p>
        </w:tc>
        <w:tc>
          <w:tcPr>
            <w:tcW w:w="2337" w:type="dxa"/>
            <w:vAlign w:val="top"/>
          </w:tcPr>
          <w:p>
            <w:pPr>
              <w:spacing w:before="40" w:after="40"/>
              <w:rPr>
                <w:sz w:val="18"/>
              </w:rPr>
            </w:pPr>
            <w:r>
              <w:rPr>
                <w:sz w:val="18"/>
                <w:szCs w:val="18"/>
              </w:rPr>
              <w:t xml:space="preserve">05-09</w:t>
            </w:r>
          </w:p>
        </w:tc>
      </w:tr>
    </w:tbl>
    <w:p>
      <w:pPr>
        <w:spacing w:before="0" w:after="100"/>
      </w:pPr>
    </w:p>
    <w:p>
      <w:pPr>
        <w:pBdr>
          <w:bottom w:val="single" w:sz="6" w:space="1" w:color="C8D2DE"/>
        </w:pBdr>
        <w:spacing w:before="160" w:after="160"/>
      </w:pPr>
    </w:p>
    <w:p>
      <w:pPr>
        <w:pStyle w:val="Heading1"/>
        <w:keepNext/>
        <w:spacing w:before="320" w:after="120"/>
      </w:pPr>
      <w:r>
        <w:t xml:space="preserve">13. Registro de procedencia de los datos</w:t>
      </w:r>
    </w:p>
    <w:p>
      <w:pPr>
        <w:spacing w:before="0" w:after="140" w:line="264" w:lineRule="auto"/>
      </w:pPr>
      <w:r>
        <w:t xml:space="preserve">Los del nivel </w:t>
      </w:r>
      <w:r>
        <w:rPr>
          <w:b/>
        </w:rPr>
        <w:t xml:space="preserve">[B]</w:t>
      </w:r>
      <w:r>
        <w:t xml:space="preserve"> no se listan: son la mayoría y cada uno lleva su página en el texto. Aquí van los otros tres niveles, que son los que alguien tiene que revisar antes de la entrega.</w:t>
      </w:r>
    </w:p>
    <w:p>
      <w:pPr>
        <w:pStyle w:val="Heading2"/>
        <w:keepNext/>
        <w:spacing w:before="260" w:after="100"/>
      </w:pPr>
      <w:r>
        <w:t xml:space="preserve">13.1 ⛔ Nivel [?] — sin verificar. No citar hasta comprobar</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1870"/>
        <w:gridCol w:w="1870"/>
        <w:gridCol w:w="1870"/>
        <w:gridCol w:w="1870"/>
        <w:gridCol w:w="1870"/>
      </w:tblGrid>
      <w:tr>
        <w:trPr>
          <w:tblHeader/>
          <w:cantSplit/>
        </w:trPr>
        <w:tc>
          <w:tcPr>
            <w:tcW w:w="1870" w:type="dxa"/>
            <w:shd w:val="clear" w:fill="EDF2F8"/>
            <w:vAlign w:val="top"/>
          </w:tcPr>
          <w:p>
            <w:pPr>
              <w:spacing w:before="40" w:after="40"/>
              <w:rPr>
                <w:sz w:val="18"/>
              </w:rPr>
            </w:pPr>
            <w:r>
              <w:rPr>
                <w:b/>
                <w:sz w:val="18"/>
                <w:szCs w:val="18"/>
              </w:rPr>
              <w:t xml:space="preserve">#</w:t>
            </w:r>
          </w:p>
        </w:tc>
        <w:tc>
          <w:tcPr>
            <w:tcW w:w="1870" w:type="dxa"/>
            <w:shd w:val="clear" w:fill="EDF2F8"/>
            <w:vAlign w:val="top"/>
          </w:tcPr>
          <w:p>
            <w:pPr>
              <w:spacing w:before="40" w:after="40"/>
              <w:rPr>
                <w:sz w:val="18"/>
              </w:rPr>
            </w:pPr>
            <w:r>
              <w:rPr>
                <w:b/>
                <w:sz w:val="18"/>
                <w:szCs w:val="18"/>
              </w:rPr>
              <w:t xml:space="preserve">Dato</w:t>
            </w:r>
          </w:p>
        </w:tc>
        <w:tc>
          <w:tcPr>
            <w:tcW w:w="1870" w:type="dxa"/>
            <w:shd w:val="clear" w:fill="EDF2F8"/>
            <w:vAlign w:val="top"/>
          </w:tcPr>
          <w:p>
            <w:pPr>
              <w:spacing w:before="40" w:after="40"/>
              <w:rPr>
                <w:sz w:val="18"/>
              </w:rPr>
            </w:pPr>
            <w:r>
              <w:rPr>
                <w:b/>
                <w:sz w:val="18"/>
                <w:szCs w:val="18"/>
              </w:rPr>
              <w:t xml:space="preserve">Dónde aparece</w:t>
            </w:r>
          </w:p>
        </w:tc>
        <w:tc>
          <w:tcPr>
            <w:tcW w:w="1870" w:type="dxa"/>
            <w:shd w:val="clear" w:fill="EDF2F8"/>
            <w:vAlign w:val="top"/>
          </w:tcPr>
          <w:p>
            <w:pPr>
              <w:spacing w:before="40" w:after="40"/>
              <w:rPr>
                <w:sz w:val="18"/>
              </w:rPr>
            </w:pPr>
            <w:r>
              <w:rPr>
                <w:b/>
                <w:sz w:val="18"/>
                <w:szCs w:val="18"/>
              </w:rPr>
              <w:t xml:space="preserve">Cómo se cierra</w:t>
            </w:r>
          </w:p>
        </w:tc>
        <w:tc>
          <w:tcPr>
            <w:tcW w:w="1870" w:type="dxa"/>
            <w:shd w:val="clear" w:fill="EDF2F8"/>
            <w:vAlign w:val="top"/>
          </w:tcPr>
          <w:p>
            <w:pPr>
              <w:spacing w:before="40" w:after="40"/>
              <w:rPr>
                <w:sz w:val="18"/>
              </w:rPr>
            </w:pPr>
            <w:r>
              <w:rPr>
                <w:b/>
                <w:sz w:val="18"/>
                <w:szCs w:val="18"/>
              </w:rPr>
              <w:t xml:space="preserve">¿Bloquea?</w:t>
            </w:r>
          </w:p>
        </w:tc>
      </w:tr>
      <w:tr>
        <w:trPr>
          <w:cantSplit/>
        </w:trPr>
        <w:tc>
          <w:tcPr>
            <w:tcW w:w="1870" w:type="dxa"/>
            <w:vAlign w:val="top"/>
          </w:tcPr>
          <w:p>
            <w:pPr>
              <w:spacing w:before="40" w:after="40"/>
              <w:rPr>
                <w:sz w:val="18"/>
              </w:rPr>
            </w:pPr>
            <w:r>
              <w:rPr>
                <w:sz w:val="18"/>
                <w:szCs w:val="18"/>
              </w:rPr>
              <w:t xml:space="preserve">?-01</w:t>
            </w:r>
          </w:p>
        </w:tc>
        <w:tc>
          <w:tcPr>
            <w:tcW w:w="1870" w:type="dxa"/>
            <w:vAlign w:val="top"/>
          </w:tcPr>
          <w:p>
            <w:pPr>
              <w:spacing w:before="40" w:after="40"/>
              <w:rPr>
                <w:sz w:val="18"/>
              </w:rPr>
            </w:pPr>
            <w:r>
              <w:rPr>
                <w:sz w:val="18"/>
                <w:szCs w:val="18"/>
              </w:rPr>
              <w:t xml:space="preserve">FMC650: 16 MB de flash interna y microSD hasta 32 GB; «alcanza para 6 horas»</w:t>
            </w:r>
          </w:p>
        </w:tc>
        <w:tc>
          <w:tcPr>
            <w:tcW w:w="1870" w:type="dxa"/>
            <w:vAlign w:val="top"/>
          </w:tcPr>
          <w:p>
            <w:pPr>
              <w:spacing w:before="40" w:after="40"/>
              <w:rPr>
                <w:sz w:val="18"/>
              </w:rPr>
            </w:pPr>
            <w:r>
              <w:rPr>
                <w:sz w:val="18"/>
                <w:szCs w:val="18"/>
              </w:rPr>
              <w:t xml:space="preserve">§5.3.6</w:t>
            </w:r>
          </w:p>
        </w:tc>
        <w:tc>
          <w:tcPr>
            <w:tcW w:w="1870" w:type="dxa"/>
            <w:vAlign w:val="top"/>
          </w:tcPr>
          <w:p>
            <w:pPr>
              <w:spacing w:before="40" w:after="40"/>
              <w:rPr>
                <w:sz w:val="18"/>
              </w:rPr>
            </w:pPr>
            <w:r>
              <w:rPr>
                <w:sz w:val="18"/>
                <w:szCs w:val="18"/>
              </w:rPr>
              <w:t xml:space="preserve">Ficha oficial de Teltonika o cotización del distribuidor</w:t>
            </w:r>
          </w:p>
        </w:tc>
        <w:tc>
          <w:tcPr>
            <w:tcW w:w="1870" w:type="dxa"/>
            <w:vAlign w:val="top"/>
          </w:tcPr>
          <w:p>
            <w:pPr>
              <w:spacing w:before="40" w:after="40"/>
              <w:rPr>
                <w:sz w:val="18"/>
              </w:rPr>
            </w:pPr>
            <w:r>
              <w:rPr>
                <w:sz w:val="18"/>
                <w:szCs w:val="18"/>
              </w:rPr>
              <w:t xml:space="preserve">No — la exigencia de ≥8 GB no depende de esta cifra</w:t>
            </w:r>
          </w:p>
        </w:tc>
      </w:tr>
      <w:tr>
        <w:trPr>
          <w:cantSplit/>
        </w:trPr>
        <w:tc>
          <w:tcPr>
            <w:tcW w:w="1870" w:type="dxa"/>
            <w:vAlign w:val="top"/>
          </w:tcPr>
          <w:p>
            <w:pPr>
              <w:spacing w:before="40" w:after="40"/>
              <w:rPr>
                <w:sz w:val="18"/>
              </w:rPr>
            </w:pPr>
            <w:r>
              <w:rPr>
                <w:sz w:val="18"/>
                <w:szCs w:val="18"/>
              </w:rPr>
              <w:t xml:space="preserve">?-02</w:t>
            </w:r>
          </w:p>
        </w:tc>
        <w:tc>
          <w:tcPr>
            <w:tcW w:w="1870" w:type="dxa"/>
            <w:vAlign w:val="top"/>
          </w:tcPr>
          <w:p>
            <w:pPr>
              <w:spacing w:before="40" w:after="40"/>
              <w:rPr>
                <w:sz w:val="18"/>
              </w:rPr>
            </w:pPr>
            <w:r>
              <w:rPr>
                <w:sz w:val="18"/>
                <w:szCs w:val="18"/>
              </w:rPr>
              <w:t xml:space="preserve">≈20 km entre Quilicura y San Bernardo</w:t>
            </w:r>
          </w:p>
        </w:tc>
        <w:tc>
          <w:tcPr>
            <w:tcW w:w="1870" w:type="dxa"/>
            <w:vAlign w:val="top"/>
          </w:tcPr>
          <w:p>
            <w:pPr>
              <w:spacing w:before="40" w:after="40"/>
              <w:rPr>
                <w:sz w:val="18"/>
              </w:rPr>
            </w:pPr>
            <w:r>
              <w:rPr>
                <w:sz w:val="18"/>
                <w:szCs w:val="18"/>
              </w:rPr>
              <w:t xml:space="preserve">§5.9.1, Diagrama 3</w:t>
            </w:r>
          </w:p>
        </w:tc>
        <w:tc>
          <w:tcPr>
            <w:tcW w:w="1870" w:type="dxa"/>
            <w:vAlign w:val="top"/>
          </w:tcPr>
          <w:p>
            <w:pPr>
              <w:spacing w:before="40" w:after="40"/>
              <w:rPr>
                <w:sz w:val="18"/>
              </w:rPr>
            </w:pPr>
            <w:r>
              <w:rPr>
                <w:sz w:val="18"/>
                <w:szCs w:val="18"/>
              </w:rPr>
              <w:t xml:space="preserve">Medición en mapa</w:t>
            </w:r>
          </w:p>
        </w:tc>
        <w:tc>
          <w:tcPr>
            <w:tcW w:w="1870" w:type="dxa"/>
            <w:vAlign w:val="top"/>
          </w:tcPr>
          <w:p>
            <w:pPr>
              <w:spacing w:before="40" w:after="40"/>
              <w:rPr>
                <w:sz w:val="18"/>
              </w:rPr>
            </w:pPr>
            <w:r>
              <w:rPr>
                <w:sz w:val="18"/>
                <w:szCs w:val="18"/>
              </w:rPr>
              <w:t xml:space="preserve">No — el argumento de RT-07.02 se sostiene por cuenca sísmica y red eléctrica comunes</w:t>
            </w:r>
          </w:p>
        </w:tc>
      </w:tr>
      <w:tr>
        <w:trPr>
          <w:cantSplit/>
        </w:trPr>
        <w:tc>
          <w:tcPr>
            <w:tcW w:w="1870" w:type="dxa"/>
            <w:vAlign w:val="top"/>
          </w:tcPr>
          <w:p>
            <w:pPr>
              <w:spacing w:before="40" w:after="40"/>
              <w:rPr>
                <w:sz w:val="18"/>
              </w:rPr>
            </w:pPr>
            <w:r>
              <w:rPr>
                <w:sz w:val="18"/>
                <w:szCs w:val="18"/>
              </w:rPr>
              <w:t xml:space="preserve">?-03</w:t>
            </w:r>
          </w:p>
        </w:tc>
        <w:tc>
          <w:tcPr>
            <w:tcW w:w="1870" w:type="dxa"/>
            <w:vAlign w:val="top"/>
          </w:tcPr>
          <w:p>
            <w:pPr>
              <w:spacing w:before="40" w:after="40"/>
              <w:rPr>
                <w:sz w:val="18"/>
              </w:rPr>
            </w:pPr>
            <w:r>
              <w:rPr>
                <w:sz w:val="18"/>
                <w:szCs w:val="18"/>
              </w:rPr>
              <w:t xml:space="preserve">FM-200 = HFC-227ea, hidrofluorocarbono de alto GWP</w:t>
            </w:r>
          </w:p>
        </w:tc>
        <w:tc>
          <w:tcPr>
            <w:tcW w:w="1870" w:type="dxa"/>
            <w:vAlign w:val="top"/>
          </w:tcPr>
          <w:p>
            <w:pPr>
              <w:spacing w:before="40" w:after="40"/>
              <w:rPr>
                <w:sz w:val="18"/>
              </w:rPr>
            </w:pPr>
            <w:r>
              <w:rPr>
                <w:sz w:val="18"/>
                <w:szCs w:val="18"/>
              </w:rPr>
              <w:t xml:space="preserve">§5.9.6</w:t>
            </w:r>
          </w:p>
        </w:tc>
        <w:tc>
          <w:tcPr>
            <w:tcW w:w="1870" w:type="dxa"/>
            <w:vAlign w:val="top"/>
          </w:tcPr>
          <w:p>
            <w:pPr>
              <w:spacing w:before="40" w:after="40"/>
              <w:rPr>
                <w:sz w:val="18"/>
              </w:rPr>
            </w:pPr>
            <w:r>
              <w:rPr>
                <w:sz w:val="18"/>
                <w:szCs w:val="18"/>
              </w:rPr>
              <w:t xml:space="preserve">Ficha del agente o normativa ambiental</w:t>
            </w:r>
          </w:p>
        </w:tc>
        <w:tc>
          <w:tcPr>
            <w:tcW w:w="1870" w:type="dxa"/>
            <w:vAlign w:val="top"/>
          </w:tcPr>
          <w:p>
            <w:pPr>
              <w:spacing w:before="40" w:after="40"/>
              <w:rPr>
                <w:sz w:val="18"/>
              </w:rPr>
            </w:pPr>
            <w:r>
              <w:rPr>
                <w:b/>
                <w:sz w:val="18"/>
                <w:szCs w:val="18"/>
              </w:rPr>
              <w:t xml:space="preserve">Sí</w:t>
            </w:r>
            <w:r>
              <w:rPr>
                <w:sz w:val="18"/>
                <w:szCs w:val="18"/>
              </w:rPr>
              <w:t xml:space="preserve"> — es el fundamento de proponer el agente alternativo</w:t>
            </w:r>
          </w:p>
        </w:tc>
      </w:tr>
      <w:tr>
        <w:trPr>
          <w:cantSplit/>
        </w:trPr>
        <w:tc>
          <w:tcPr>
            <w:tcW w:w="1870" w:type="dxa"/>
            <w:vAlign w:val="top"/>
          </w:tcPr>
          <w:p>
            <w:pPr>
              <w:spacing w:before="40" w:after="40"/>
              <w:rPr>
                <w:sz w:val="18"/>
              </w:rPr>
            </w:pPr>
            <w:r>
              <w:rPr>
                <w:sz w:val="18"/>
                <w:szCs w:val="18"/>
              </w:rPr>
              <w:t xml:space="preserve">?-04</w:t>
            </w:r>
          </w:p>
        </w:tc>
        <w:tc>
          <w:tcPr>
            <w:tcW w:w="1870" w:type="dxa"/>
            <w:vAlign w:val="top"/>
          </w:tcPr>
          <w:p>
            <w:pPr>
              <w:spacing w:before="40" w:after="40"/>
              <w:rPr>
                <w:sz w:val="18"/>
              </w:rPr>
            </w:pPr>
            <w:r>
              <w:rPr>
                <w:sz w:val="18"/>
                <w:szCs w:val="18"/>
              </w:rPr>
              <w:t xml:space="preserve">FK-5-1-12 / Novec 1230 como alternativa de bajo GWP</w:t>
            </w:r>
          </w:p>
        </w:tc>
        <w:tc>
          <w:tcPr>
            <w:tcW w:w="1870" w:type="dxa"/>
            <w:vAlign w:val="top"/>
          </w:tcPr>
          <w:p>
            <w:pPr>
              <w:spacing w:before="40" w:after="40"/>
              <w:rPr>
                <w:sz w:val="18"/>
              </w:rPr>
            </w:pPr>
            <w:r>
              <w:rPr>
                <w:sz w:val="18"/>
                <w:szCs w:val="18"/>
              </w:rPr>
              <w:t xml:space="preserve">§5.9.6</w:t>
            </w:r>
          </w:p>
        </w:tc>
        <w:tc>
          <w:tcPr>
            <w:tcW w:w="1870" w:type="dxa"/>
            <w:vAlign w:val="top"/>
          </w:tcPr>
          <w:p>
            <w:pPr>
              <w:spacing w:before="40" w:after="40"/>
              <w:rPr>
                <w:sz w:val="18"/>
              </w:rPr>
            </w:pPr>
            <w:r>
              <w:rPr>
                <w:sz w:val="18"/>
                <w:szCs w:val="18"/>
              </w:rPr>
              <w:t xml:space="preserve">Ídem</w:t>
            </w:r>
          </w:p>
        </w:tc>
        <w:tc>
          <w:tcPr>
            <w:tcW w:w="1870" w:type="dxa"/>
            <w:vAlign w:val="top"/>
          </w:tcPr>
          <w:p>
            <w:pPr>
              <w:spacing w:before="40" w:after="40"/>
              <w:rPr>
                <w:sz w:val="18"/>
              </w:rPr>
            </w:pPr>
            <w:r>
              <w:rPr>
                <w:b/>
                <w:sz w:val="18"/>
                <w:szCs w:val="18"/>
              </w:rPr>
              <w:t xml:space="preserve">Sí</w:t>
            </w:r>
            <w:r>
              <w:rPr>
                <w:sz w:val="18"/>
                <w:szCs w:val="18"/>
              </w:rPr>
              <w:t xml:space="preserve"> — mismo argumento</w:t>
            </w:r>
          </w:p>
        </w:tc>
      </w:tr>
      <w:tr>
        <w:trPr>
          <w:cantSplit/>
        </w:trPr>
        <w:tc>
          <w:tcPr>
            <w:tcW w:w="1870" w:type="dxa"/>
            <w:vAlign w:val="top"/>
          </w:tcPr>
          <w:p>
            <w:pPr>
              <w:spacing w:before="40" w:after="40"/>
              <w:rPr>
                <w:sz w:val="18"/>
              </w:rPr>
            </w:pPr>
            <w:r>
              <w:rPr>
                <w:sz w:val="18"/>
                <w:szCs w:val="18"/>
              </w:rPr>
              <w:t xml:space="preserve">?-05</w:t>
            </w:r>
          </w:p>
        </w:tc>
        <w:tc>
          <w:tcPr>
            <w:tcW w:w="1870" w:type="dxa"/>
            <w:vAlign w:val="top"/>
          </w:tcPr>
          <w:p>
            <w:pPr>
              <w:spacing w:before="40" w:after="40"/>
              <w:rPr>
                <w:sz w:val="18"/>
              </w:rPr>
            </w:pPr>
            <w:r>
              <w:rPr>
                <w:sz w:val="18"/>
                <w:szCs w:val="18"/>
              </w:rPr>
              <w:t xml:space="preserve">Art. 25 bis del Código del Trabajo: 180 h mensuales, no distribuibles en menos de 21 días</w:t>
            </w:r>
          </w:p>
        </w:tc>
        <w:tc>
          <w:tcPr>
            <w:tcW w:w="1870" w:type="dxa"/>
            <w:vAlign w:val="top"/>
          </w:tcPr>
          <w:p>
            <w:pPr>
              <w:spacing w:before="40" w:after="40"/>
              <w:rPr>
                <w:sz w:val="18"/>
              </w:rPr>
            </w:pPr>
            <w:r>
              <w:rPr>
                <w:sz w:val="18"/>
                <w:szCs w:val="18"/>
              </w:rPr>
              <w:t xml:space="preserve">§5.6, §7 supuesto S-02</w:t>
            </w:r>
          </w:p>
        </w:tc>
        <w:tc>
          <w:tcPr>
            <w:tcW w:w="1870" w:type="dxa"/>
            <w:vAlign w:val="top"/>
          </w:tcPr>
          <w:p>
            <w:pPr>
              <w:spacing w:before="40" w:after="40"/>
              <w:rPr>
                <w:sz w:val="18"/>
              </w:rPr>
            </w:pPr>
            <w:r>
              <w:rPr>
                <w:sz w:val="18"/>
                <w:szCs w:val="18"/>
              </w:rPr>
              <w:t xml:space="preserve">Texto de la norma en la BCN</w:t>
            </w:r>
          </w:p>
        </w:tc>
        <w:tc>
          <w:tcPr>
            <w:tcW w:w="1870" w:type="dxa"/>
            <w:vAlign w:val="top"/>
          </w:tcPr>
          <w:p>
            <w:pPr>
              <w:spacing w:before="40" w:after="40"/>
              <w:rPr>
                <w:sz w:val="18"/>
              </w:rPr>
            </w:pPr>
            <w:r>
              <w:rPr>
                <w:b/>
                <w:sz w:val="18"/>
                <w:szCs w:val="18"/>
              </w:rPr>
              <w:t xml:space="preserve">Sí</w:t>
            </w:r>
            <w:r>
              <w:rPr>
                <w:sz w:val="18"/>
                <w:szCs w:val="18"/>
              </w:rPr>
              <w:t xml:space="preserve"> — sustenta el cálculo de 30 h de marcha en 72 h</w:t>
            </w:r>
          </w:p>
        </w:tc>
      </w:tr>
      <w:tr>
        <w:trPr>
          <w:cantSplit/>
        </w:trPr>
        <w:tc>
          <w:tcPr>
            <w:tcW w:w="1870" w:type="dxa"/>
            <w:vAlign w:val="top"/>
          </w:tcPr>
          <w:p>
            <w:pPr>
              <w:spacing w:before="40" w:after="40"/>
              <w:rPr>
                <w:sz w:val="18"/>
              </w:rPr>
            </w:pPr>
            <w:r>
              <w:rPr>
                <w:sz w:val="18"/>
                <w:szCs w:val="18"/>
              </w:rPr>
              <w:t xml:space="preserve">?-06</w:t>
            </w:r>
          </w:p>
        </w:tc>
        <w:tc>
          <w:tcPr>
            <w:tcW w:w="1870" w:type="dxa"/>
            <w:vAlign w:val="top"/>
          </w:tcPr>
          <w:p>
            <w:pPr>
              <w:spacing w:before="40" w:after="40"/>
              <w:rPr>
                <w:sz w:val="18"/>
              </w:rPr>
            </w:pPr>
            <w:r>
              <w:rPr>
                <w:sz w:val="18"/>
                <w:szCs w:val="18"/>
              </w:rPr>
              <w:t xml:space="preserve">Res. Ex. N.º 1213 de 08-10-2009: libreta foliada, timbrada, de cargo del empleador</w:t>
            </w:r>
          </w:p>
        </w:tc>
        <w:tc>
          <w:tcPr>
            <w:tcW w:w="1870" w:type="dxa"/>
            <w:vAlign w:val="top"/>
          </w:tcPr>
          <w:p>
            <w:pPr>
              <w:spacing w:before="40" w:after="40"/>
              <w:rPr>
                <w:sz w:val="18"/>
              </w:rPr>
            </w:pPr>
            <w:r>
              <w:rPr>
                <w:sz w:val="18"/>
                <w:szCs w:val="18"/>
              </w:rPr>
              <w:t xml:space="preserve">§5.6</w:t>
            </w:r>
          </w:p>
        </w:tc>
        <w:tc>
          <w:tcPr>
            <w:tcW w:w="1870" w:type="dxa"/>
            <w:vAlign w:val="top"/>
          </w:tcPr>
          <w:p>
            <w:pPr>
              <w:spacing w:before="40" w:after="40"/>
              <w:rPr>
                <w:sz w:val="18"/>
              </w:rPr>
            </w:pPr>
            <w:r>
              <w:rPr>
                <w:sz w:val="18"/>
                <w:szCs w:val="18"/>
              </w:rPr>
              <w:t xml:space="preserve">Texto de la resolución en la Dirección del Trabajo</w:t>
            </w:r>
          </w:p>
        </w:tc>
        <w:tc>
          <w:tcPr>
            <w:tcW w:w="1870" w:type="dxa"/>
            <w:vAlign w:val="top"/>
          </w:tcPr>
          <w:p>
            <w:pPr>
              <w:spacing w:before="40" w:after="40"/>
              <w:rPr>
                <w:sz w:val="18"/>
              </w:rPr>
            </w:pPr>
            <w:r>
              <w:rPr>
                <w:b/>
                <w:sz w:val="18"/>
                <w:szCs w:val="18"/>
              </w:rPr>
              <w:t xml:space="preserve">Sí</w:t>
            </w:r>
            <w:r>
              <w:rPr>
                <w:sz w:val="18"/>
                <w:szCs w:val="18"/>
              </w:rPr>
              <w:t xml:space="preserve"> — sustenta la consulta C-10</w:t>
            </w:r>
          </w:p>
        </w:tc>
      </w:tr>
      <w:tr>
        <w:trPr>
          <w:cantSplit/>
        </w:trPr>
        <w:tc>
          <w:tcPr>
            <w:tcW w:w="1870" w:type="dxa"/>
            <w:vAlign w:val="top"/>
          </w:tcPr>
          <w:p>
            <w:pPr>
              <w:spacing w:before="40" w:after="40"/>
              <w:rPr>
                <w:sz w:val="18"/>
              </w:rPr>
            </w:pPr>
            <w:r>
              <w:rPr>
                <w:sz w:val="18"/>
                <w:szCs w:val="18"/>
              </w:rPr>
              <w:t xml:space="preserve">?-07</w:t>
            </w:r>
          </w:p>
        </w:tc>
        <w:tc>
          <w:tcPr>
            <w:tcW w:w="1870" w:type="dxa"/>
            <w:vAlign w:val="top"/>
          </w:tcPr>
          <w:p>
            <w:pPr>
              <w:spacing w:before="40" w:after="40"/>
              <w:rPr>
                <w:sz w:val="18"/>
              </w:rPr>
            </w:pPr>
            <w:r>
              <w:rPr>
                <w:sz w:val="18"/>
                <w:szCs w:val="18"/>
              </w:rPr>
              <w:t xml:space="preserve">Decreto N.º 80 de 2004 y umbral de 360 HP-SAE para tacógrafo</w:t>
            </w:r>
          </w:p>
        </w:tc>
        <w:tc>
          <w:tcPr>
            <w:tcW w:w="1870" w:type="dxa"/>
            <w:vAlign w:val="top"/>
          </w:tcPr>
          <w:p>
            <w:pPr>
              <w:spacing w:before="40" w:after="40"/>
              <w:rPr>
                <w:sz w:val="18"/>
              </w:rPr>
            </w:pPr>
            <w:r>
              <w:rPr>
                <w:sz w:val="18"/>
                <w:szCs w:val="18"/>
              </w:rPr>
              <w:t xml:space="preserve">§5.6</w:t>
            </w:r>
          </w:p>
        </w:tc>
        <w:tc>
          <w:tcPr>
            <w:tcW w:w="1870" w:type="dxa"/>
            <w:vAlign w:val="top"/>
          </w:tcPr>
          <w:p>
            <w:pPr>
              <w:spacing w:before="40" w:after="40"/>
              <w:rPr>
                <w:sz w:val="18"/>
              </w:rPr>
            </w:pPr>
            <w:r>
              <w:rPr>
                <w:sz w:val="18"/>
                <w:szCs w:val="18"/>
              </w:rPr>
              <w:t xml:space="preserve">BCN o Ministerio de Transportes</w:t>
            </w:r>
          </w:p>
        </w:tc>
        <w:tc>
          <w:tcPr>
            <w:tcW w:w="1870" w:type="dxa"/>
            <w:vAlign w:val="top"/>
          </w:tcPr>
          <w:p>
            <w:pPr>
              <w:spacing w:before="40" w:after="40"/>
              <w:rPr>
                <w:sz w:val="18"/>
              </w:rPr>
            </w:pPr>
            <w:r>
              <w:rPr>
                <w:sz w:val="18"/>
                <w:szCs w:val="18"/>
              </w:rPr>
              <w:t xml:space="preserve">No — ya está marcado en el texto como no verificado</w:t>
            </w:r>
          </w:p>
        </w:tc>
      </w:tr>
      <w:tr>
        <w:trPr>
          <w:cantSplit/>
        </w:trPr>
        <w:tc>
          <w:tcPr>
            <w:tcW w:w="1870" w:type="dxa"/>
            <w:vAlign w:val="top"/>
          </w:tcPr>
          <w:p>
            <w:pPr>
              <w:spacing w:before="40" w:after="40"/>
              <w:rPr>
                <w:sz w:val="18"/>
              </w:rPr>
            </w:pPr>
            <w:r>
              <w:rPr>
                <w:sz w:val="18"/>
                <w:szCs w:val="18"/>
              </w:rPr>
              <w:t xml:space="preserve">?-08</w:t>
            </w:r>
          </w:p>
        </w:tc>
        <w:tc>
          <w:tcPr>
            <w:tcW w:w="1870" w:type="dxa"/>
            <w:vAlign w:val="top"/>
          </w:tcPr>
          <w:p>
            <w:pPr>
              <w:spacing w:before="40" w:after="40"/>
              <w:rPr>
                <w:sz w:val="18"/>
              </w:rPr>
            </w:pPr>
            <w:r>
              <w:rPr>
                <w:sz w:val="18"/>
                <w:szCs w:val="18"/>
              </w:rPr>
              <w:t xml:space="preserve">Anchos de banda de LTE Cat-1 (2–5 Mbps) y LTE-M (100–300 kbps)</w:t>
            </w:r>
          </w:p>
        </w:tc>
        <w:tc>
          <w:tcPr>
            <w:tcW w:w="1870" w:type="dxa"/>
            <w:vAlign w:val="top"/>
          </w:tcPr>
          <w:p>
            <w:pPr>
              <w:spacing w:before="40" w:after="40"/>
              <w:rPr>
                <w:sz w:val="18"/>
              </w:rPr>
            </w:pPr>
            <w:r>
              <w:rPr>
                <w:sz w:val="18"/>
                <w:szCs w:val="18"/>
              </w:rPr>
              <w:t xml:space="preserve">Análisis de sincronización</w:t>
            </w:r>
          </w:p>
        </w:tc>
        <w:tc>
          <w:tcPr>
            <w:tcW w:w="1870" w:type="dxa"/>
            <w:vAlign w:val="top"/>
          </w:tcPr>
          <w:p>
            <w:pPr>
              <w:spacing w:before="40" w:after="40"/>
              <w:rPr>
                <w:sz w:val="18"/>
              </w:rPr>
            </w:pPr>
            <w:r>
              <w:rPr>
                <w:sz w:val="18"/>
                <w:szCs w:val="18"/>
              </w:rPr>
              <w:t xml:space="preserve">Ficha del módem elegido</w:t>
            </w:r>
          </w:p>
        </w:tc>
        <w:tc>
          <w:tcPr>
            <w:tcW w:w="1870" w:type="dxa"/>
            <w:vAlign w:val="top"/>
          </w:tcPr>
          <w:p>
            <w:pPr>
              <w:spacing w:before="40" w:after="40"/>
              <w:rPr>
                <w:sz w:val="18"/>
              </w:rPr>
            </w:pPr>
            <w:r>
              <w:rPr>
                <w:sz w:val="18"/>
                <w:szCs w:val="18"/>
              </w:rPr>
              <w:t xml:space="preserve">No — el argumento es comparativo, no absoluto</w:t>
            </w:r>
          </w:p>
        </w:tc>
      </w:tr>
    </w:tbl>
    <w:p>
      <w:pPr>
        <w:spacing w:before="0" w:after="100"/>
      </w:pPr>
    </w:p>
    <w:p>
      <w:pPr>
        <w:spacing w:before="0" w:after="140" w:line="264" w:lineRule="auto"/>
      </w:pPr>
      <w:r>
        <w:rPr>
          <w:b/>
        </w:rPr>
        <w:t xml:space="preserve">Origen común de ?-05, ?-06 y ?-07:</w:t>
      </w:r>
      <w:r>
        <w:t xml:space="preserve"> provienen de </w:t>
      </w:r>
      <w:r>
        <w:rPr>
          <w:rFonts w:ascii="Consolas" w:hAnsi="Consolas"/>
          <w:color w:val="5B21B6"/>
          <w:sz w:val="20"/>
          <w:szCs w:val="20"/>
          <w:shd w:val="clear" w:fill="F1F4F8"/>
        </w:rPr>
        <w:t xml:space="preserve">BLOQUE2-INVESTIGACION-TECNICA.md</w:t>
      </w:r>
      <w:r>
        <w:t xml:space="preserve">, elaborado en una sesión anterior. Ese archivo los declara verificados en fuentes de la Dirección del Trabajo, pero no fueron contrastados en este análisis. </w:t>
      </w:r>
      <w:r>
        <w:rPr>
          <w:b/>
        </w:rPr>
        <w:t xml:space="preserve">Heredar una verificación no es verificar.</w:t>
      </w:r>
    </w:p>
    <w:p>
      <w:pPr>
        <w:pStyle w:val="Heading2"/>
        <w:keepNext/>
        <w:spacing w:before="260" w:after="100"/>
      </w:pPr>
      <w:r>
        <w:t xml:space="preserve">13.2 Nivel [F] — verificado en fuente externa</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3116"/>
        <w:gridCol w:w="3116"/>
        <w:gridCol w:w="3116"/>
      </w:tblGrid>
      <w:tr>
        <w:trPr>
          <w:tblHeader/>
          <w:cantSplit/>
        </w:trPr>
        <w:tc>
          <w:tcPr>
            <w:tcW w:w="3116" w:type="dxa"/>
            <w:shd w:val="clear" w:fill="EDF2F8"/>
            <w:vAlign w:val="top"/>
          </w:tcPr>
          <w:p>
            <w:pPr>
              <w:spacing w:before="40" w:after="40"/>
              <w:rPr>
                <w:sz w:val="18"/>
              </w:rPr>
            </w:pPr>
            <w:r>
              <w:rPr>
                <w:b/>
                <w:sz w:val="18"/>
                <w:szCs w:val="18"/>
              </w:rPr>
              <w:t xml:space="preserve">Dato</w:t>
            </w:r>
          </w:p>
        </w:tc>
        <w:tc>
          <w:tcPr>
            <w:tcW w:w="3116" w:type="dxa"/>
            <w:shd w:val="clear" w:fill="EDF2F8"/>
            <w:vAlign w:val="top"/>
          </w:tcPr>
          <w:p>
            <w:pPr>
              <w:spacing w:before="40" w:after="40"/>
              <w:rPr>
                <w:sz w:val="18"/>
              </w:rPr>
            </w:pPr>
            <w:r>
              <w:rPr>
                <w:b/>
                <w:sz w:val="18"/>
                <w:szCs w:val="18"/>
              </w:rPr>
              <w:t xml:space="preserve">Fuente</w:t>
            </w:r>
          </w:p>
        </w:tc>
        <w:tc>
          <w:tcPr>
            <w:tcW w:w="3116" w:type="dxa"/>
            <w:shd w:val="clear" w:fill="EDF2F8"/>
            <w:vAlign w:val="top"/>
          </w:tcPr>
          <w:p>
            <w:pPr>
              <w:spacing w:before="40" w:after="40"/>
              <w:rPr>
                <w:sz w:val="18"/>
              </w:rPr>
            </w:pPr>
            <w:r>
              <w:rPr>
                <w:b/>
                <w:sz w:val="18"/>
                <w:szCs w:val="18"/>
              </w:rPr>
              <w:t xml:space="preserve">Dónde aparece</w:t>
            </w:r>
          </w:p>
        </w:tc>
      </w:tr>
      <w:tr>
        <w:trPr>
          <w:cantSplit/>
        </w:trPr>
        <w:tc>
          <w:tcPr>
            <w:tcW w:w="3116" w:type="dxa"/>
            <w:vAlign w:val="top"/>
          </w:tcPr>
          <w:p>
            <w:pPr>
              <w:spacing w:before="40" w:after="40"/>
              <w:rPr>
                <w:sz w:val="18"/>
              </w:rPr>
            </w:pPr>
            <w:r>
              <w:rPr>
                <w:sz w:val="18"/>
                <w:szCs w:val="18"/>
              </w:rPr>
              <w:t xml:space="preserve">Webfleet SAT: almacenamiento de hasta 40 h; conmuta a satélite tras 10 min sin red; en satélite la posición se actualiza cada 10 min</w:t>
            </w:r>
          </w:p>
        </w:tc>
        <w:tc>
          <w:tcPr>
            <w:tcW w:w="3116" w:type="dxa"/>
            <w:vAlign w:val="top"/>
          </w:tcPr>
          <w:p>
            <w:pPr>
              <w:spacing w:before="40" w:after="40"/>
              <w:rPr>
                <w:sz w:val="18"/>
              </w:rPr>
            </w:pPr>
            <w:r>
              <w:rPr>
                <w:rFonts w:ascii="Consolas" w:hAnsi="Consolas"/>
                <w:color w:val="5B21B6"/>
                <w:sz w:val="16"/>
                <w:szCs w:val="16"/>
                <w:shd w:val="clear" w:fill="F1F4F8"/>
              </w:rPr>
              <w:t xml:space="preserve">wf-wfsat-datasheet.cl.pdf</w:t>
            </w:r>
            <w:r>
              <w:rPr>
                <w:sz w:val="18"/>
                <w:szCs w:val="18"/>
              </w:rPr>
              <w:t xml:space="preserve">, ficha entregada por el CLIENTE</w:t>
            </w:r>
          </w:p>
        </w:tc>
        <w:tc>
          <w:tcPr>
            <w:tcW w:w="3116" w:type="dxa"/>
            <w:vAlign w:val="top"/>
          </w:tcPr>
          <w:p>
            <w:pPr>
              <w:spacing w:before="40" w:after="40"/>
              <w:rPr>
                <w:sz w:val="18"/>
              </w:rPr>
            </w:pPr>
            <w:r>
              <w:rPr>
                <w:sz w:val="18"/>
                <w:szCs w:val="18"/>
              </w:rPr>
              <w:t xml:space="preserve">§5.3.4</w:t>
            </w:r>
          </w:p>
        </w:tc>
      </w:tr>
      <w:tr>
        <w:trPr>
          <w:cantSplit/>
        </w:trPr>
        <w:tc>
          <w:tcPr>
            <w:tcW w:w="3116" w:type="dxa"/>
            <w:vAlign w:val="top"/>
          </w:tcPr>
          <w:p>
            <w:pPr>
              <w:spacing w:before="40" w:after="40"/>
              <w:rPr>
                <w:sz w:val="18"/>
              </w:rPr>
            </w:pPr>
            <w:r>
              <w:rPr>
                <w:sz w:val="18"/>
                <w:szCs w:val="18"/>
              </w:rPr>
              <w:t xml:space="preserve">Iridium Edge: 123,2 × 78,4 × 30,3 mm, 205 g, IP67, −40/+85 °C, 9–32 V, 1,6 W en transmisión, red SBD sobre 66 satélites LEO</w:t>
            </w:r>
          </w:p>
        </w:tc>
        <w:tc>
          <w:tcPr>
            <w:tcW w:w="3116" w:type="dxa"/>
            <w:vAlign w:val="top"/>
          </w:tcPr>
          <w:p>
            <w:pPr>
              <w:spacing w:before="40" w:after="40"/>
              <w:rPr>
                <w:sz w:val="18"/>
              </w:rPr>
            </w:pPr>
            <w:r>
              <w:rPr>
                <w:sz w:val="18"/>
                <w:szCs w:val="18"/>
              </w:rPr>
              <w:t xml:space="preserve">Misma ficha</w:t>
            </w:r>
          </w:p>
        </w:tc>
        <w:tc>
          <w:tcPr>
            <w:tcW w:w="3116" w:type="dxa"/>
            <w:vAlign w:val="top"/>
          </w:tcPr>
          <w:p>
            <w:pPr>
              <w:spacing w:before="40" w:after="40"/>
              <w:rPr>
                <w:sz w:val="18"/>
              </w:rPr>
            </w:pPr>
            <w:r>
              <w:rPr>
                <w:sz w:val="18"/>
                <w:szCs w:val="18"/>
              </w:rPr>
              <w:t xml:space="preserve">§5.3.1, §5.4</w:t>
            </w:r>
          </w:p>
        </w:tc>
      </w:tr>
      <w:tr>
        <w:trPr>
          <w:cantSplit/>
        </w:trPr>
        <w:tc>
          <w:tcPr>
            <w:tcW w:w="3116" w:type="dxa"/>
            <w:vAlign w:val="top"/>
          </w:tcPr>
          <w:p>
            <w:pPr>
              <w:spacing w:before="40" w:after="40"/>
              <w:rPr>
                <w:sz w:val="18"/>
              </w:rPr>
            </w:pPr>
            <w:r>
              <w:rPr>
                <w:sz w:val="18"/>
                <w:szCs w:val="18"/>
              </w:rPr>
              <w:t xml:space="preserve">LINK 740: IP20, −30 a +70 °C, módem LTE-M y GPRS, memoria interna no publicada, 122 × 59 × 24 mm, 96 g</w:t>
            </w:r>
          </w:p>
        </w:tc>
        <w:tc>
          <w:tcPr>
            <w:tcW w:w="3116" w:type="dxa"/>
            <w:vAlign w:val="top"/>
          </w:tcPr>
          <w:p>
            <w:pPr>
              <w:spacing w:before="40" w:after="40"/>
              <w:rPr>
                <w:sz w:val="18"/>
              </w:rPr>
            </w:pPr>
            <w:r>
              <w:rPr>
                <w:sz w:val="18"/>
                <w:szCs w:val="18"/>
              </w:rPr>
              <w:t xml:space="preserve">webfleet.com, especificaciones del producto</w:t>
            </w:r>
          </w:p>
        </w:tc>
        <w:tc>
          <w:tcPr>
            <w:tcW w:w="3116" w:type="dxa"/>
            <w:vAlign w:val="top"/>
          </w:tcPr>
          <w:p>
            <w:pPr>
              <w:spacing w:before="40" w:after="40"/>
              <w:rPr>
                <w:sz w:val="18"/>
              </w:rPr>
            </w:pPr>
            <w:r>
              <w:rPr>
                <w:sz w:val="18"/>
                <w:szCs w:val="18"/>
              </w:rPr>
              <w:t xml:space="preserve">§5.3.3</w:t>
            </w:r>
          </w:p>
        </w:tc>
      </w:tr>
      <w:tr>
        <w:trPr>
          <w:cantSplit/>
        </w:trPr>
        <w:tc>
          <w:tcPr>
            <w:tcW w:w="3116" w:type="dxa"/>
            <w:vAlign w:val="top"/>
          </w:tcPr>
          <w:p>
            <w:pPr>
              <w:spacing w:before="40" w:after="40"/>
              <w:rPr>
                <w:sz w:val="18"/>
              </w:rPr>
            </w:pPr>
            <w:r>
              <w:rPr>
                <w:sz w:val="18"/>
                <w:szCs w:val="18"/>
              </w:rPr>
              <w:t xml:space="preserve">Iridium SBD: 340 B máximo por mensaje saliente en 9601/9602; 1.960 B en 9522A/B</w:t>
            </w:r>
          </w:p>
        </w:tc>
        <w:tc>
          <w:tcPr>
            <w:tcW w:w="3116" w:type="dxa"/>
            <w:vAlign w:val="top"/>
          </w:tcPr>
          <w:p>
            <w:pPr>
              <w:spacing w:before="40" w:after="40"/>
              <w:rPr>
                <w:sz w:val="18"/>
              </w:rPr>
            </w:pPr>
            <w:r>
              <w:rPr>
                <w:sz w:val="18"/>
                <w:szCs w:val="18"/>
              </w:rPr>
              <w:t xml:space="preserve">Documentación pública de Iridium SBD</w:t>
            </w:r>
          </w:p>
        </w:tc>
        <w:tc>
          <w:tcPr>
            <w:tcW w:w="3116" w:type="dxa"/>
            <w:vAlign w:val="top"/>
          </w:tcPr>
          <w:p>
            <w:pPr>
              <w:spacing w:before="40" w:after="40"/>
              <w:rPr>
                <w:sz w:val="18"/>
              </w:rPr>
            </w:pPr>
            <w:r>
              <w:rPr>
                <w:sz w:val="18"/>
                <w:szCs w:val="18"/>
              </w:rPr>
              <w:t xml:space="preserve">§5.5</w:t>
            </w:r>
          </w:p>
        </w:tc>
      </w:tr>
      <w:tr>
        <w:trPr>
          <w:cantSplit/>
        </w:trPr>
        <w:tc>
          <w:tcPr>
            <w:tcW w:w="3116" w:type="dxa"/>
            <w:vAlign w:val="top"/>
          </w:tcPr>
          <w:p>
            <w:pPr>
              <w:spacing w:before="40" w:after="40"/>
              <w:rPr>
                <w:sz w:val="18"/>
              </w:rPr>
            </w:pPr>
            <w:r>
              <w:rPr>
                <w:sz w:val="18"/>
                <w:szCs w:val="18"/>
              </w:rPr>
              <w:t xml:space="preserve">Azure Chile Central: Santiago (Quilicura), disponible desde 2025, tres zonas de disponibilidad, residencia de datos en Chile</w:t>
            </w:r>
          </w:p>
        </w:tc>
        <w:tc>
          <w:tcPr>
            <w:tcW w:w="3116" w:type="dxa"/>
            <w:vAlign w:val="top"/>
          </w:tcPr>
          <w:p>
            <w:pPr>
              <w:spacing w:before="40" w:after="40"/>
              <w:rPr>
                <w:sz w:val="18"/>
              </w:rPr>
            </w:pPr>
            <w:r>
              <w:rPr>
                <w:sz w:val="18"/>
                <w:szCs w:val="18"/>
              </w:rPr>
              <w:t xml:space="preserve">Documentación de Microsoft Azure</w:t>
            </w:r>
          </w:p>
        </w:tc>
        <w:tc>
          <w:tcPr>
            <w:tcW w:w="3116" w:type="dxa"/>
            <w:vAlign w:val="top"/>
          </w:tcPr>
          <w:p>
            <w:pPr>
              <w:spacing w:before="40" w:after="40"/>
              <w:rPr>
                <w:sz w:val="18"/>
              </w:rPr>
            </w:pPr>
            <w:r>
              <w:rPr>
                <w:sz w:val="18"/>
                <w:szCs w:val="18"/>
              </w:rPr>
              <w:t xml:space="preserve">§5.8.1</w:t>
            </w:r>
          </w:p>
        </w:tc>
      </w:tr>
      <w:tr>
        <w:trPr>
          <w:cantSplit/>
        </w:trPr>
        <w:tc>
          <w:tcPr>
            <w:tcW w:w="3116" w:type="dxa"/>
            <w:vAlign w:val="top"/>
          </w:tcPr>
          <w:p>
            <w:pPr>
              <w:spacing w:before="40" w:after="40"/>
              <w:rPr>
                <w:sz w:val="18"/>
              </w:rPr>
            </w:pPr>
            <w:r>
              <w:rPr>
                <w:sz w:val="18"/>
                <w:szCs w:val="18"/>
              </w:rPr>
              <w:t xml:space="preserve">rFMS v5.0.0, especificación de 25-07-2025, API REST sobre HTTPS</w:t>
            </w:r>
          </w:p>
        </w:tc>
        <w:tc>
          <w:tcPr>
            <w:tcW w:w="3116" w:type="dxa"/>
            <w:vAlign w:val="top"/>
          </w:tcPr>
          <w:p>
            <w:pPr>
              <w:spacing w:before="40" w:after="40"/>
              <w:rPr>
                <w:sz w:val="18"/>
              </w:rPr>
            </w:pPr>
            <w:r>
              <w:rPr>
                <w:rFonts w:ascii="Consolas" w:hAnsi="Consolas"/>
                <w:color w:val="5B21B6"/>
                <w:sz w:val="16"/>
                <w:szCs w:val="16"/>
                <w:shd w:val="clear" w:fill="F1F4F8"/>
              </w:rPr>
              <w:t xml:space="preserve">fms-standard.com</w:t>
            </w:r>
          </w:p>
        </w:tc>
        <w:tc>
          <w:tcPr>
            <w:tcW w:w="3116" w:type="dxa"/>
            <w:vAlign w:val="top"/>
          </w:tcPr>
          <w:p>
            <w:pPr>
              <w:spacing w:before="40" w:after="40"/>
              <w:rPr>
                <w:sz w:val="18"/>
              </w:rPr>
            </w:pPr>
            <w:r>
              <w:rPr>
                <w:sz w:val="18"/>
                <w:szCs w:val="18"/>
              </w:rPr>
              <w:t xml:space="preserve">§5.7</w:t>
            </w:r>
          </w:p>
        </w:tc>
      </w:tr>
      <w:tr>
        <w:trPr>
          <w:cantSplit/>
        </w:trPr>
        <w:tc>
          <w:tcPr>
            <w:tcW w:w="3116" w:type="dxa"/>
            <w:vAlign w:val="top"/>
          </w:tcPr>
          <w:p>
            <w:pPr>
              <w:spacing w:before="40" w:after="40"/>
              <w:rPr>
                <w:sz w:val="18"/>
              </w:rPr>
            </w:pPr>
            <w:r>
              <w:rPr>
                <w:sz w:val="18"/>
                <w:szCs w:val="18"/>
              </w:rPr>
              <w:t xml:space="preserve">FMC650: 2× RS232, 1× RS485, CAN J1939, CAN J1708, 1-Wire, BLE; 8–32 V DC; batería Ni-MH 8,4 V 550 mAh; descarga remota DDD/TGD/V1B/C1B y Smart Tachograph v2 por el conector C (C5/C7)</w:t>
            </w:r>
          </w:p>
        </w:tc>
        <w:tc>
          <w:tcPr>
            <w:tcW w:w="3116" w:type="dxa"/>
            <w:vAlign w:val="top"/>
          </w:tcPr>
          <w:p>
            <w:pPr>
              <w:spacing w:before="40" w:after="40"/>
              <w:rPr>
                <w:sz w:val="18"/>
              </w:rPr>
            </w:pPr>
            <w:r>
              <w:rPr>
                <w:sz w:val="18"/>
                <w:szCs w:val="18"/>
              </w:rPr>
              <w:t xml:space="preserve">Documentación de Teltonika</w:t>
            </w:r>
          </w:p>
        </w:tc>
        <w:tc>
          <w:tcPr>
            <w:tcW w:w="3116" w:type="dxa"/>
            <w:vAlign w:val="top"/>
          </w:tcPr>
          <w:p>
            <w:pPr>
              <w:spacing w:before="40" w:after="40"/>
              <w:rPr>
                <w:sz w:val="18"/>
              </w:rPr>
            </w:pPr>
            <w:r>
              <w:rPr>
                <w:sz w:val="18"/>
                <w:szCs w:val="18"/>
              </w:rPr>
              <w:t xml:space="preserve">§5.3.6</w:t>
            </w:r>
          </w:p>
        </w:tc>
      </w:tr>
      <w:tr>
        <w:trPr>
          <w:cantSplit/>
        </w:trPr>
        <w:tc>
          <w:tcPr>
            <w:tcW w:w="3116" w:type="dxa"/>
            <w:vAlign w:val="top"/>
          </w:tcPr>
          <w:p>
            <w:pPr>
              <w:spacing w:before="40" w:after="40"/>
              <w:rPr>
                <w:sz w:val="18"/>
              </w:rPr>
            </w:pPr>
            <w:r>
              <w:rPr>
                <w:sz w:val="18"/>
                <w:szCs w:val="18"/>
              </w:rPr>
              <w:t xml:space="preserve">FMC650 marcado </w:t>
            </w:r>
            <w:r>
              <w:rPr>
                <w:i/>
                <w:sz w:val="18"/>
                <w:szCs w:val="18"/>
              </w:rPr>
              <w:t xml:space="preserve">End of life</w:t>
            </w:r>
            <w:r>
              <w:rPr>
                <w:sz w:val="18"/>
                <w:szCs w:val="18"/>
              </w:rPr>
              <w:t xml:space="preserve"> y </w:t>
            </w:r>
            <w:r>
              <w:rPr>
                <w:i/>
                <w:sz w:val="18"/>
                <w:szCs w:val="18"/>
              </w:rPr>
              <w:t xml:space="preserve">Out of stock</w:t>
            </w:r>
            <w:r>
              <w:rPr>
                <w:sz w:val="18"/>
                <w:szCs w:val="18"/>
              </w:rPr>
              <w:t xml:space="preserve"> en el catálogo, con la wiki actualizada en mayo de 2026</w:t>
            </w:r>
          </w:p>
        </w:tc>
        <w:tc>
          <w:tcPr>
            <w:tcW w:w="3116" w:type="dxa"/>
            <w:vAlign w:val="top"/>
          </w:tcPr>
          <w:p>
            <w:pPr>
              <w:spacing w:before="40" w:after="40"/>
              <w:rPr>
                <w:sz w:val="18"/>
              </w:rPr>
            </w:pPr>
            <w:r>
              <w:rPr>
                <w:sz w:val="18"/>
                <w:szCs w:val="18"/>
              </w:rPr>
              <w:t xml:space="preserve">Catálogo de Teltonika</w:t>
            </w:r>
          </w:p>
        </w:tc>
        <w:tc>
          <w:tcPr>
            <w:tcW w:w="3116" w:type="dxa"/>
            <w:vAlign w:val="top"/>
          </w:tcPr>
          <w:p>
            <w:pPr>
              <w:spacing w:before="40" w:after="40"/>
              <w:rPr>
                <w:sz w:val="18"/>
              </w:rPr>
            </w:pPr>
            <w:r>
              <w:rPr>
                <w:sz w:val="18"/>
                <w:szCs w:val="18"/>
              </w:rPr>
              <w:t xml:space="preserve">§5.3.6</w:t>
            </w:r>
          </w:p>
        </w:tc>
      </w:tr>
    </w:tbl>
    <w:p>
      <w:pPr>
        <w:spacing w:before="0" w:after="100"/>
      </w:pPr>
    </w:p>
    <w:p>
      <w:pPr>
        <w:spacing w:before="0" w:after="140" w:line="264" w:lineRule="auto"/>
      </w:pPr>
      <w:r>
        <w:rPr>
          <w:b/>
        </w:rPr>
        <w:t xml:space="preserve">Regla de forma:</w:t>
      </w:r>
      <w:r>
        <w:t xml:space="preserve"> el Art. 40° exige referencias en </w:t>
      </w:r>
      <w:r>
        <w:rPr>
          <w:b/>
        </w:rPr>
        <w:t xml:space="preserve">APA 7.ª edición</w:t>
      </w:r>
      <w:r>
        <w:t xml:space="preserve">. Cada fila de esta tabla que llegue al informe necesita su entrada bibliográfica completa con fecha de consulta.</w:t>
      </w:r>
    </w:p>
    <w:p>
      <w:pPr>
        <w:pStyle w:val="Heading2"/>
        <w:keepNext/>
        <w:spacing w:before="260" w:after="100"/>
      </w:pPr>
      <w:r>
        <w:t xml:space="preserve">13.3 Nivel [S] — supuestos de D4</w:t>
      </w:r>
    </w:p>
    <w:p>
      <w:pPr>
        <w:spacing w:before="0" w:after="140" w:line="264" w:lineRule="auto"/>
      </w:pPr>
      <w:r>
        <w:t xml:space="preserve">Están en la </w:t>
      </w:r>
      <w:r>
        <w:rPr>
          <w:b/>
        </w:rPr>
        <w:t xml:space="preserve">§7</w:t>
      </w:r>
      <w:r>
        <w:t xml:space="preserve">, con su derivación y la actividad que los cierra. No se repiten aquí.</w:t>
      </w:r>
    </w:p>
    <w:p>
      <w:pPr>
        <w:pStyle w:val="Heading2"/>
        <w:keepNext/>
        <w:spacing w:before="260" w:after="100"/>
      </w:pPr>
      <w:r>
        <w:t xml:space="preserve">13.4 Qué cambió al aparecer las bases en texto</w:t>
      </w:r>
    </w:p>
    <w:p>
      <w:pPr>
        <w:spacing w:before="0" w:after="140" w:line="264" w:lineRule="auto"/>
      </w:pPr>
      <w:r>
        <w:t xml:space="preserve">Las Bases Administrativas eran el PDF escaneado sin capa de texto, y todo lo que citábamos de ellas venía del documento de traspaso. Con el texto disponible en </w:t>
      </w:r>
      <w:r>
        <w:rPr>
          <w:rFonts w:ascii="Consolas" w:hAnsi="Consolas"/>
          <w:color w:val="5B21B6"/>
          <w:sz w:val="20"/>
          <w:szCs w:val="20"/>
          <w:shd w:val="clear" w:fill="F1F4F8"/>
        </w:rPr>
        <w:t xml:space="preserve">audIT/texto/</w:t>
      </w:r>
      <w:r>
        <w:t xml:space="preserve"> quedaron </w:t>
      </w:r>
      <w:r>
        <w:rPr>
          <w:b/>
        </w:rPr>
        <w:t xml:space="preserve">verificados textualmente</w:t>
      </w:r>
      <w:r>
        <w:t xml:space="preserve">:</w:t>
      </w:r>
    </w:p>
    <w:tbl>
      <w:tblPr>
        <w:tblW w:w="935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CellMar>
          <w:top w:w="60" w:type="dxa"/>
          <w:left w:w="80" w:type="dxa"/>
          <w:bottom w:w="60" w:type="dxa"/>
          <w:right w:w="80" w:type="dxa"/>
        </w:tblCellMar>
      </w:tblPr>
      <w:tblGrid>
        <w:gridCol w:w="4675"/>
        <w:gridCol w:w="4675"/>
      </w:tblGrid>
      <w:tr>
        <w:trPr>
          <w:tblHeader/>
          <w:cantSplit/>
        </w:trPr>
        <w:tc>
          <w:tcPr>
            <w:tcW w:w="4675" w:type="dxa"/>
            <w:shd w:val="clear" w:fill="EDF2F8"/>
            <w:vAlign w:val="top"/>
          </w:tcPr>
          <w:p>
            <w:pPr>
              <w:spacing w:before="40" w:after="40"/>
              <w:rPr>
                <w:sz w:val="18"/>
              </w:rPr>
            </w:pPr>
            <w:r>
              <w:rPr>
                <w:b/>
                <w:sz w:val="18"/>
                <w:szCs w:val="18"/>
              </w:rPr>
              <w:t xml:space="preserve">Artículo</w:t>
            </w:r>
          </w:p>
        </w:tc>
        <w:tc>
          <w:tcPr>
            <w:tcW w:w="4675" w:type="dxa"/>
            <w:shd w:val="clear" w:fill="EDF2F8"/>
            <w:vAlign w:val="top"/>
          </w:tcPr>
          <w:p>
            <w:pPr>
              <w:spacing w:before="40" w:after="40"/>
              <w:rPr>
                <w:sz w:val="18"/>
              </w:rPr>
            </w:pPr>
            <w:r>
              <w:rPr>
                <w:b/>
                <w:sz w:val="18"/>
                <w:szCs w:val="18"/>
              </w:rPr>
              <w:t xml:space="preserve">Texto confirmado</w:t>
            </w:r>
          </w:p>
        </w:tc>
      </w:tr>
      <w:tr>
        <w:trPr>
          <w:cantSplit/>
        </w:trPr>
        <w:tc>
          <w:tcPr>
            <w:tcW w:w="4675" w:type="dxa"/>
            <w:vAlign w:val="top"/>
          </w:tcPr>
          <w:p>
            <w:pPr>
              <w:spacing w:before="40" w:after="40"/>
              <w:rPr>
                <w:sz w:val="18"/>
              </w:rPr>
            </w:pPr>
            <w:r>
              <w:rPr>
                <w:b/>
                <w:sz w:val="18"/>
                <w:szCs w:val="18"/>
              </w:rPr>
              <w:t xml:space="preserve">50.2</w:t>
            </w:r>
          </w:p>
        </w:tc>
        <w:tc>
          <w:tcPr>
            <w:tcW w:w="4675" w:type="dxa"/>
            <w:vAlign w:val="top"/>
          </w:tcPr>
          <w:p>
            <w:pPr>
              <w:spacing w:before="40" w:after="40"/>
              <w:rPr>
                <w:sz w:val="18"/>
              </w:rPr>
            </w:pPr>
            <w:r>
              <w:rPr>
                <w:sz w:val="18"/>
                <w:szCs w:val="18"/>
              </w:rPr>
              <w:t xml:space="preserve">«la Oferta Técnica no podrá contener información de precios, tarifas, valores unitarios ni cifra alguna que permita inferir el monto de la oferta económica. Su inclusión es causal de exclusión inmediata»</w:t>
            </w:r>
          </w:p>
        </w:tc>
      </w:tr>
      <w:tr>
        <w:trPr>
          <w:cantSplit/>
        </w:trPr>
        <w:tc>
          <w:tcPr>
            <w:tcW w:w="4675" w:type="dxa"/>
            <w:vAlign w:val="top"/>
          </w:tcPr>
          <w:p>
            <w:pPr>
              <w:spacing w:before="40" w:after="40"/>
              <w:rPr>
                <w:sz w:val="18"/>
              </w:rPr>
            </w:pPr>
            <w:r>
              <w:rPr>
                <w:b/>
                <w:sz w:val="18"/>
                <w:szCs w:val="18"/>
              </w:rPr>
              <w:t xml:space="preserve">16.1</w:t>
            </w:r>
          </w:p>
        </w:tc>
        <w:tc>
          <w:tcPr>
            <w:tcW w:w="4675" w:type="dxa"/>
            <w:vAlign w:val="top"/>
          </w:tcPr>
          <w:p>
            <w:pPr>
              <w:spacing w:before="40" w:after="40"/>
              <w:rPr>
                <w:sz w:val="18"/>
              </w:rPr>
            </w:pPr>
            <w:r>
              <w:rPr>
                <w:sz w:val="18"/>
                <w:szCs w:val="18"/>
              </w:rPr>
              <w:t xml:space="preserve">«No se admiten propuestas exclusivamente en nube ni exclusivamente on-premise»</w:t>
            </w:r>
          </w:p>
        </w:tc>
      </w:tr>
      <w:tr>
        <w:trPr>
          <w:cantSplit/>
        </w:trPr>
        <w:tc>
          <w:tcPr>
            <w:tcW w:w="4675" w:type="dxa"/>
            <w:vAlign w:val="top"/>
          </w:tcPr>
          <w:p>
            <w:pPr>
              <w:spacing w:before="40" w:after="40"/>
              <w:rPr>
                <w:sz w:val="18"/>
              </w:rPr>
            </w:pPr>
            <w:r>
              <w:rPr>
                <w:b/>
                <w:sz w:val="18"/>
                <w:szCs w:val="18"/>
              </w:rPr>
              <w:t xml:space="preserve">16.2</w:t>
            </w:r>
          </w:p>
        </w:tc>
        <w:tc>
          <w:tcPr>
            <w:tcW w:w="4675" w:type="dxa"/>
            <w:vAlign w:val="top"/>
          </w:tcPr>
          <w:p>
            <w:pPr>
              <w:spacing w:before="40" w:after="40"/>
              <w:rPr>
                <w:sz w:val="18"/>
              </w:rPr>
            </w:pPr>
            <w:r>
              <w:rPr>
                <w:sz w:val="18"/>
                <w:szCs w:val="18"/>
              </w:rPr>
              <w:t xml:space="preserve">Justificar el emplazamiento componente por componente por latencia, criticidad, volumen, regulación, conectividad y costo total de propiedad. «Una asignación no justificada será evaluada como observación grave»</w:t>
            </w:r>
          </w:p>
        </w:tc>
      </w:tr>
      <w:tr>
        <w:trPr>
          <w:cantSplit/>
        </w:trPr>
        <w:tc>
          <w:tcPr>
            <w:tcW w:w="4675" w:type="dxa"/>
            <w:vAlign w:val="top"/>
          </w:tcPr>
          <w:p>
            <w:pPr>
              <w:spacing w:before="40" w:after="40"/>
              <w:rPr>
                <w:sz w:val="18"/>
              </w:rPr>
            </w:pPr>
            <w:r>
              <w:rPr>
                <w:b/>
                <w:sz w:val="18"/>
                <w:szCs w:val="18"/>
              </w:rPr>
              <w:t xml:space="preserve">16.3</w:t>
            </w:r>
          </w:p>
        </w:tc>
        <w:tc>
          <w:tcPr>
            <w:tcW w:w="4675" w:type="dxa"/>
            <w:vAlign w:val="top"/>
          </w:tcPr>
          <w:p>
            <w:pPr>
              <w:spacing w:before="40" w:after="40"/>
              <w:rPr>
                <w:sz w:val="18"/>
              </w:rPr>
            </w:pPr>
            <w:r>
              <w:rPr>
                <w:sz w:val="18"/>
                <w:szCs w:val="18"/>
              </w:rPr>
              <w:t xml:space="preserve">Nube pública con región o zona en Chile o Sudamérica, </w:t>
            </w:r>
            <w:r>
              <w:rPr>
                <w:b/>
                <w:sz w:val="18"/>
                <w:szCs w:val="18"/>
              </w:rPr>
              <w:t xml:space="preserve">«declarando expresamente la región primaria y la región secundaria utilizadas»</w:t>
            </w:r>
          </w:p>
        </w:tc>
      </w:tr>
      <w:tr>
        <w:trPr>
          <w:cantSplit/>
        </w:trPr>
        <w:tc>
          <w:tcPr>
            <w:tcW w:w="4675" w:type="dxa"/>
            <w:vAlign w:val="top"/>
          </w:tcPr>
          <w:p>
            <w:pPr>
              <w:spacing w:before="40" w:after="40"/>
              <w:rPr>
                <w:sz w:val="18"/>
              </w:rPr>
            </w:pPr>
            <w:r>
              <w:rPr>
                <w:b/>
                <w:sz w:val="18"/>
                <w:szCs w:val="18"/>
              </w:rPr>
              <w:t xml:space="preserve">40.1</w:t>
            </w:r>
          </w:p>
        </w:tc>
        <w:tc>
          <w:tcPr>
            <w:tcW w:w="4675" w:type="dxa"/>
            <w:vAlign w:val="top"/>
          </w:tcPr>
          <w:p>
            <w:pPr>
              <w:spacing w:before="40" w:after="40"/>
              <w:rPr>
                <w:sz w:val="18"/>
              </w:rPr>
            </w:pPr>
            <w:r>
              <w:rPr>
                <w:sz w:val="18"/>
                <w:szCs w:val="18"/>
              </w:rPr>
              <w:t xml:space="preserve">«La falta de foliación es requisito excluyente y produce la exclusión automática»</w:t>
            </w:r>
          </w:p>
        </w:tc>
      </w:tr>
      <w:tr>
        <w:trPr>
          <w:cantSplit/>
        </w:trPr>
        <w:tc>
          <w:tcPr>
            <w:tcW w:w="4675" w:type="dxa"/>
            <w:vAlign w:val="top"/>
          </w:tcPr>
          <w:p>
            <w:pPr>
              <w:spacing w:before="40" w:after="40"/>
              <w:rPr>
                <w:sz w:val="18"/>
              </w:rPr>
            </w:pPr>
            <w:r>
              <w:rPr>
                <w:b/>
                <w:sz w:val="18"/>
                <w:szCs w:val="18"/>
              </w:rPr>
              <w:t xml:space="preserve">43</w:t>
            </w:r>
          </w:p>
        </w:tc>
        <w:tc>
          <w:tcPr>
            <w:tcW w:w="4675" w:type="dxa"/>
            <w:vAlign w:val="top"/>
          </w:tcPr>
          <w:p>
            <w:pPr>
              <w:spacing w:before="40" w:after="40"/>
              <w:rPr>
                <w:sz w:val="18"/>
              </w:rPr>
            </w:pPr>
            <w:r>
              <w:rPr>
                <w:sz w:val="18"/>
                <w:szCs w:val="18"/>
              </w:rPr>
              <w:t xml:space="preserve">Período de consultas por canal oficial, en planilla con estructura obligatoria</w:t>
            </w:r>
          </w:p>
        </w:tc>
      </w:tr>
    </w:tbl>
    <w:p>
      <w:pPr>
        <w:spacing w:before="0" w:after="100"/>
      </w:pPr>
    </w:p>
    <w:p>
      <w:pPr>
        <w:spacing w:before="0" w:after="140" w:line="264" w:lineRule="auto"/>
      </w:pPr>
      <w:r>
        <w:rPr>
          <w:b/>
        </w:rPr>
        <w:t xml:space="preserve">El Art. 16.3 es un hallazgo:</w:t>
      </w:r>
      <w:r>
        <w:t xml:space="preserve"> obliga a declarar región primaria </w:t>
      </w:r>
      <w:r>
        <w:rPr>
          <w:b/>
        </w:rPr>
        <w:t xml:space="preserve">y</w:t>
      </w:r>
      <w:r>
        <w:t xml:space="preserve"> secundaria de nube. Eso respalda por escrito la corrección de §5.9.2 —el secundario de la nube es otra región Azure, no San Bernardo— y conviene citarlo en el informe junto a RT-07.02.</w:t>
      </w:r>
    </w:p>
    <w:sectPr>
      <w:footerReference w:type="default" r:id="rId3"/>
      <w:pgSz w:w="11906" w:h="16838"/>
      <w:pgMar w:top="1134" w:right="1134" w:bottom="1134" w:left="1134" w:header="708" w:footer="708" w:gutter="0"/>
    </w:sectPr>
  </w:body>
</w:document>
</file>

<file path=word/footer1.xml><?xml version="1.0" encoding="utf-8"?>
<w:ftr xmlns:w="http://schemas.openxmlformats.org/wordprocessingml/2006/main" xmlns:r="http://schemas.openxmlformats.org/officeDocument/2006/relationships">
  <w:p>
    <w:pPr>
      <w:jc w:val="center"/>
      <w:pBdr>
        <w:top w:val="single" w:sz="4" w:space="6" w:color="C8D2DE"/>
      </w:pBdr>
    </w:pPr>
    <w:r>
      <w:rPr>
        <w:sz w:val="17"/>
        <w:color w:val="6B7280"/>
      </w:rPr>
      <w:t xml:space="preserve">Dupla 4 · Subdoc. 4.2 · TFEP-01/2026 — </w:t>
    </w:r>
    <w:r>
      <w:fldChar w:fldCharType="begin"/>
    </w:r>
    <w:r>
      <w:instrText xml:space="preserve"> PAGE </w:instrText>
    </w:r>
    <w:r>
      <w:fldChar w:fldCharType="separate"/>
    </w:r>
    <w:r>
      <w:rPr>
        <w:sz w:val="17"/>
      </w:rPr>
      <w:t>1</w:t>
    </w:r>
    <w:r>
      <w:fldChar w:fldCharType="end"/>
    </w:r>
  </w:p>
</w:ftr>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lang w:val="es-CL"/>
      </w:rPr>
    </w:rPrDefault>
    <w:pPrDefault>
      <w:pPr>
        <w:spacing w:after="120"/>
      </w:pPr>
    </w:pPrDefault>
  </w:docDefaults>
  <w:style w:type="paragraph" w:default="1" w:styleId="Normal">
    <w:name w:val="Normal"/>
  </w:style>
  <w:style w:type="paragraph" w:styleId="Titulo0">
    <w:name w:val="Title"/>
    <w:qFormat/>
    <w:rPr>
      <w:b/>
      <w:sz w:val="40"/>
      <w:color w:val="12243A"/>
    </w:rPr>
  </w:style>
  <w:style w:type="paragraph" w:styleId="Heading1">
    <w:name w:val="heading 1"/>
    <w:qFormat/>
    <w:pPr>
      <w:outlineLvl w:val="0"/>
      <w:pBdr>
        <w:bottom w:val="single" w:sz="8" w:space="4" w:color="1B4FA8"/>
      </w:pBdr>
    </w:pPr>
    <w:rPr>
      <w:b/>
      <w:sz w:val="30"/>
      <w:color w:val="1B4FA8"/>
    </w:rPr>
  </w:style>
  <w:style w:type="paragraph" w:styleId="Heading2">
    <w:name w:val="heading 2"/>
    <w:qFormat/>
    <w:pPr>
      <w:outlineLvl w:val="1"/>
    </w:pPr>
    <w:rPr>
      <w:b/>
      <w:sz w:val="25"/>
      <w:color w:val="12243A"/>
    </w:rPr>
  </w:style>
  <w:style w:type="paragraph" w:styleId="Heading3">
    <w:name w:val="heading 3"/>
    <w:qFormat/>
    <w:pPr>
      <w:outlineLvl w:val="2"/>
    </w:pPr>
    <w:rPr>
      <w:b/>
      <w:i/>
      <w:sz w:val="23"/>
      <w:color w:val="41506A"/>
    </w:rPr>
  </w:style>
  <w:style w:type="paragraph" w:styleId="Codigo">
    <w:name w:val="Codigo"/>
    <w:rPr>
      <w:rFonts w:ascii="Consolas" w:hAnsi="Consolas"/>
      <w:sz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Dupla 4 — Material para el Informe y Presentación 1</dc:title>
  <dc:subject>Caso 10 · TFEP-01/2026 · Subdocumento 4.2</dc:subject>
  <dc:creator>Dupla 4</dc:creator>
  <cp:revision>1</cp:revision>
</cp:coreProperties>
</file>