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ulo0"/>
        <w:keepNext/>
        <w:spacing w:before="0" w:after="160"/>
      </w:pPr>
      <w:r>
        <w:t xml:space="preserve">Formulario T-11 · Tabla de emplazamiento de componentes</w:t>
      </w:r>
    </w:p>
    <w:p>
      <w:pPr>
        <w:spacing w:before="0" w:after="140" w:line="264" w:lineRule="auto"/>
      </w:pPr>
      <w:r>
        <w:rPr>
          <w:b/>
        </w:rPr>
        <w:t xml:space="preserve">Dupla 4 · Subdocumento 4.2 · audIT · Licitación TFEP-01/2026 · Caso 10</w:t>
      </w:r>
      <w:r>
        <w:t xml:space="preserve"> </w:t>
      </w:r>
      <w:r>
        <w:rPr>
          <w:b/>
        </w:rPr>
        <w:t xml:space="preserve">Fuente del formato:</w:t>
      </w:r>
      <w:r>
        <w:t xml:space="preserve"> FEP01 · Formulario T-11 · p.62 </w:t>
      </w:r>
      <w:r>
        <w:rPr>
          <w:b/>
        </w:rPr>
        <w:t xml:space="preserve">Insumo:</w:t>
      </w:r>
      <w:r>
        <w:t xml:space="preserve"> inventario lógico de D3 (</w:t>
      </w:r>
      <w:r>
        <w:rPr>
          <w:rFonts w:ascii="Consolas" w:hAnsi="Consolas"/>
          <w:color w:val="5B21B6"/>
          <w:sz w:val="20"/>
          <w:szCs w:val="20"/>
          <w:shd w:val="clear" w:fill="F1F4F8"/>
        </w:rPr>
        <w:t xml:space="preserve">subdoc4.1-arquitectura-logica.md</w:t>
      </w:r>
      <w:r>
        <w:t xml:space="preserve">, Eje 5), recibido y revisado.</w:t>
      </w:r>
    </w:p>
    <w:p>
      <w:pPr>
        <w:pBdr>
          <w:bottom w:val="single" w:sz="6" w:space="1" w:color="C8D2DE"/>
        </w:pBdr>
        <w:spacing w:before="160" w:after="160"/>
      </w:pPr>
    </w:p>
    <w:p>
      <w:pPr>
        <w:pStyle w:val="Heading1"/>
        <w:keepNext/>
        <w:spacing w:before="320" w:after="120"/>
      </w:pPr>
      <w:r>
        <w:t xml:space="preserve">Regla que gobierna esta tabla</w:t>
      </w:r>
    </w:p>
    <w:p>
      <w:pPr>
        <w:spacing w:before="0" w:after="140" w:line="264" w:lineRule="auto"/>
      </w:pPr>
      <w:r>
        <w:rPr>
          <w:b/>
        </w:rPr>
        <w:t xml:space="preserve">Artículo 16.2</w:t>
      </w:r>
      <w:r>
        <w:t xml:space="preserve"> (FEP01 p.12, verificado textualmente):</w:t>
      </w:r>
    </w:p>
    <w:p>
      <w:pPr>
        <w:shd w:val="clear" w:fill="F4F7FB"/>
        <w:pBdr>
          <w:left w:val="single" w:sz="18" w:space="8" w:color="9CC3F5"/>
        </w:pBdr>
        <w:ind w:left="200"/>
        <w:spacing w:before="100" w:after="140"/>
      </w:pPr>
      <w:r>
        <w:rPr>
          <w:sz w:val="21"/>
          <w:szCs w:val="21"/>
        </w:rPr>
        <w:t xml:space="preserve">«El PROPONENTE deberá justificar, </w:t>
      </w:r>
      <w:r>
        <w:rPr>
          <w:b/>
          <w:sz w:val="21"/>
          <w:szCs w:val="21"/>
        </w:rPr>
        <w:t xml:space="preserve">componente por componente</w:t>
      </w:r>
      <w:r>
        <w:rPr>
          <w:sz w:val="21"/>
          <w:szCs w:val="21"/>
        </w:rPr>
        <w:t xml:space="preserve">, la decisión de emplazamiento en función de </w:t>
      </w:r>
      <w:r>
        <w:rPr>
          <w:b/>
          <w:sz w:val="21"/>
          <w:szCs w:val="21"/>
        </w:rPr>
        <w:t xml:space="preserve">latencia, criticidad operacional, volumen de datos, restricciones regulatorias, disponibilidad de conectividad y costo total de propiedad</w:t>
      </w:r>
      <w:r>
        <w:rPr>
          <w:sz w:val="21"/>
          <w:szCs w:val="21"/>
        </w:rPr>
        <w:t xml:space="preserve">. Una asignación no justificada será evaluada como </w:t>
      </w:r>
      <w:r>
        <w:rPr>
          <w:b/>
          <w:sz w:val="21"/>
          <w:szCs w:val="21"/>
        </w:rPr>
        <w:t xml:space="preserve">observación grave</w:t>
      </w:r>
      <w:r>
        <w:rPr>
          <w:sz w:val="21"/>
          <w:szCs w:val="21"/>
        </w:rPr>
        <w:t xml:space="preserve">.»</w:t>
      </w:r>
    </w:p>
    <w:p>
      <w:pPr>
        <w:spacing w:before="0" w:after="140" w:line="264" w:lineRule="auto"/>
      </w:pPr>
      <w:r>
        <w:rPr>
          <w:b/>
        </w:rPr>
        <w:t xml:space="preserve">Artículo 16.1:</w:t>
      </w:r>
      <w:r>
        <w:t xml:space="preserve"> «No se admiten propuestas exclusivamente en nube ni exclusivamente on-premise.»</w:t>
      </w:r>
    </w:p>
    <w:p>
      <w:pPr>
        <w:spacing w:before="0" w:after="140" w:line="264" w:lineRule="auto"/>
      </w:pPr>
      <w:r>
        <w:t xml:space="preserve">Y el numeral 1.5 advierte que declarar «cumple» sin individualizar el componente </w:t>
      </w:r>
      <w:r>
        <w:rPr>
          <w:b/>
        </w:rPr>
        <w:t xml:space="preserve">equivale a no declarar</w:t>
      </w:r>
      <w:r>
        <w:t xml:space="preserve">. Por eso cada fila lleva su justificación propia y ninguna dice «según corresponda».</w:t>
      </w:r>
    </w:p>
    <w:p>
      <w:pPr>
        <w:pStyle w:val="Heading1"/>
        <w:keepNext/>
        <w:spacing w:before="320" w:after="120"/>
      </w:pPr>
      <w:r>
        <w:t xml:space="preserve">Los cuatro emplazamientos de esta solución</w:t>
      </w:r>
    </w:p>
    <w:tbl>
      <w:tblPr>
        <w:tblW w:w="935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37"/>
        <w:gridCol w:w="2337"/>
        <w:gridCol w:w="2337"/>
        <w:gridCol w:w="2337"/>
      </w:tblGrid>
      <w:tr>
        <w:trPr>
          <w:tblHeader/>
          <w:cantSplit/>
        </w:trPr>
        <w:tc>
          <w:tcPr>
            <w:tcW w:w="2337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Código</w:t>
            </w:r>
          </w:p>
        </w:tc>
        <w:tc>
          <w:tcPr>
            <w:tcW w:w="2337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Emplazamiento</w:t>
            </w:r>
          </w:p>
        </w:tc>
        <w:tc>
          <w:tcPr>
            <w:tcW w:w="2337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Tipología declarada</w:t>
            </w:r>
          </w:p>
        </w:tc>
        <w:tc>
          <w:tcPr>
            <w:tcW w:w="2337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Fundamento</w:t>
            </w:r>
          </w:p>
        </w:tc>
      </w:tr>
      <w:tr>
        <w:trPr>
          <w:cantSplit/>
        </w:trPr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Nube — Azure Chile Central, tres zonas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RT-03.01, RT-03.02</w:t>
            </w:r>
          </w:p>
        </w:tc>
      </w:tr>
      <w:tr>
        <w:trPr>
          <w:cantSplit/>
        </w:trPr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N2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Nube — segunda región Azure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RT-07.02 · </w:t>
            </w:r>
            <w:r>
              <w:rPr>
                <w:b/>
                <w:sz w:val="18"/>
                <w:szCs w:val="18"/>
              </w:rPr>
              <w:t xml:space="preserve">Art. 16.3 obliga a declarar región primaria y secundaria</w:t>
            </w:r>
          </w:p>
        </w:tc>
      </w:tr>
      <w:tr>
        <w:trPr>
          <w:cantSplit/>
        </w:trPr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SB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San Bernardo, 26 m²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Sala técnica secundaria o de sitio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Numeral 6.1 transversal</w:t>
            </w:r>
          </w:p>
        </w:tc>
      </w:tr>
      <w:tr>
        <w:trPr>
          <w:cantSplit/>
        </w:trPr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GT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Gabinete de terminal ×4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Gabinete o borde operacional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RT-06.01 del Caso</w:t>
            </w:r>
          </w:p>
        </w:tc>
      </w:tr>
      <w:tr>
        <w:trPr>
          <w:cantSplit/>
        </w:trPr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DB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Dispositivo a bordo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On-premise distribuido ×374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RT-06.01 del Caso, texto expreso</w:t>
            </w:r>
          </w:p>
        </w:tc>
      </w:tr>
      <w:tr>
        <w:trPr>
          <w:cantSplit/>
        </w:trPr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BM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Borde móvil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337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RT-17.01</w:t>
            </w:r>
          </w:p>
        </w:tc>
      </w:tr>
    </w:tbl>
    <w:p>
      <w:pPr>
        <w:spacing w:before="0" w:after="100"/>
      </w:pPr>
    </w:p>
    <w:p>
      <w:pPr>
        <w:pBdr>
          <w:bottom w:val="single" w:sz="6" w:space="1" w:color="C8D2DE"/>
        </w:pBdr>
        <w:spacing w:before="160" w:after="160"/>
      </w:pPr>
    </w:p>
    <w:p>
      <w:pPr>
        <w:pStyle w:val="Heading1"/>
        <w:keepNext/>
        <w:spacing w:before="320" w:after="120"/>
      </w:pPr>
      <w:r>
        <w:t xml:space="preserve">Tabla A · Decisión de emplazamiento</w:t>
      </w:r>
    </w:p>
    <w:tbl>
      <w:tblPr>
        <w:tblW w:w="935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>
          <w:tblHeader/>
          <w:cantSplit/>
        </w:trPr>
        <w:tc>
          <w:tcPr>
            <w:tcW w:w="1870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>
            <w:tcW w:w="1870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Componente lógico</w:t>
            </w:r>
          </w:p>
        </w:tc>
        <w:tc>
          <w:tcPr>
            <w:tcW w:w="1870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Capa</w:t>
            </w:r>
          </w:p>
        </w:tc>
        <w:tc>
          <w:tcPr>
            <w:tcW w:w="1870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Empl.</w:t>
            </w:r>
          </w:p>
        </w:tc>
        <w:tc>
          <w:tcPr>
            <w:tcW w:w="1870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Justificación de la decisión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CDN y protección perimetral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Borde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Punto de presencia distribuido; no tiene sentido físico fuera de la nube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Puerta de enlace de servicios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Borde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Autenticación y enrutamiento centralizados; escala con el peak de reconexión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Servicio de despacho y asignación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Orquesta recursos de toda la red; requiere la vista completa de flota y jornada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Nodo de continuidad operacional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SB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RT-21.06: asignar viaje, emitir DET y recibir pánico son severidad máxima. No pueden depender del enlace a la nube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Servicio de flota y mantenimiento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Administración centralizada de activos; tolera latencia de segundos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Servicio de jornada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Validación bloqueante ≤30 s (RT-09.01) contra el dato consolidado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Servicio de gestión documental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Sellado y control de retención centralizados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Servicio de tarifas y liquidación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Proceso por lotes mensual; sin exigencia de latencia operacional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Bus de eventos de telemetría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Eventos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Absorbe la ráfaga de cientos de unidades saliendo de la misma sombra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Bus transaccional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Eventos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Entrega garantizada con cola de mensajes fallidos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Pasarela de la capa anticorrupción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SB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Debe alcanzar el ERP heredado, que está físicamente en San Bernardo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Integración telemática de terceros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Consume APIs de los dos proveedores externos; </w:t>
            </w:r>
            <w:r>
              <w:rPr>
                <w:b/>
                <w:sz w:val="18"/>
                <w:szCs w:val="18"/>
              </w:rPr>
              <w:t xml:space="preserve">cero intervención física</w:t>
            </w:r>
            <w:r>
              <w:rPr>
                <w:sz w:val="18"/>
                <w:szCs w:val="18"/>
              </w:rPr>
              <w:t xml:space="preserve"> (restricción 3)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Integración rFMS de fábrica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API del fabricante, solo lectura, autorización por OEM (RT-17.06)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Base transaccional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Consistencia estricta con alta disponibilidad multizona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Base de series de tiempo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Volumen y patrón de escritura masiva; 2 años en línea (RT-05.10 del Caso)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Caché distribuida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Sesiones, vigencias y geocercas de consulta; </w:t>
            </w:r>
            <w:r>
              <w:rPr>
                <w:b/>
                <w:sz w:val="18"/>
                <w:szCs w:val="18"/>
              </w:rPr>
              <w:t xml:space="preserve">no sustituye la evaluación a bordo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Repositorio documental inmutable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Evidencia probatoria con retención de 5 a 10 años (RT-07.11, RT-05.10)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Lakehouse analítico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Analítica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Aislamiento OLTP/OLAP; costo por km en ≤24 h (RT-05.29)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Capa semántica de autoservicio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Analítica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Explotación por Finanzas sin intervención de TI (RT-05.27)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Gestión del parque de dispositivos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Terreno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Inventario, configuración, </w:t>
            </w:r>
            <w:r>
              <w:rPr>
                <w:b/>
                <w:sz w:val="18"/>
                <w:szCs w:val="18"/>
              </w:rPr>
              <w:t xml:space="preserve">firmware</w:t>
            </w:r>
            <w:r>
              <w:rPr>
                <w:sz w:val="18"/>
                <w:szCs w:val="18"/>
              </w:rPr>
              <w:t xml:space="preserve">, bloqueo y borrado remotos (RT-03.18)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Identidad, secretos y cifrado de campo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Clave gestionada </w:t>
            </w:r>
            <w:r>
              <w:rPr>
                <w:b/>
                <w:sz w:val="18"/>
                <w:szCs w:val="18"/>
              </w:rPr>
              <w:t xml:space="preserve">independiente de la infraestructura respaldada</w:t>
            </w:r>
            <w:r>
              <w:rPr>
                <w:sz w:val="18"/>
                <w:szCs w:val="18"/>
              </w:rPr>
              <w:t xml:space="preserve"> (RT-07.10, RT-11.10)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Observabilidad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Observab.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Cobertura unificada de nube y on-premise, sin puntos ciegos (RT-03.16)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Réplica de recuperación ante desastres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Todas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N2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RT-07.02: distancia suficiente para no compartir el evento de fuerza mayor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ERP contable heredado 2013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Legado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SB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Sistema existente no reemplazable y </w:t>
            </w:r>
            <w:r>
              <w:rPr>
                <w:b/>
                <w:sz w:val="18"/>
                <w:szCs w:val="18"/>
              </w:rPr>
              <w:t xml:space="preserve">único emisor de documentos tributarios</w:t>
            </w:r>
            <w:r>
              <w:rPr>
                <w:sz w:val="18"/>
                <w:szCs w:val="18"/>
              </w:rPr>
              <w:t xml:space="preserve"> (Cap. 11)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Terminación de enlaces y borde de red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SB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Punto de entrada de ExpressRoute y VPN por rutas físicas distintas (RT-03.17, RT-06.32)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Custodia de medios de respaldo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Datos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SB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Medio físico transportable fuera de sitio (RT-06.26, esquema 3-2-1-1-0 de RT-07.09)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Nodo de terminal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Negocio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GT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RT-03.10 del Caso: «Los terminales deben operar 12 horas sin enlace hacia el exterior»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Lector de portería y enrolamiento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Terreno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GT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sz w:val="18"/>
                <w:szCs w:val="18"/>
              </w:rPr>
              <w:t xml:space="preserve">SB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Verificación local de vigencias en los 5 terminales; el enrolamiento biométrico se centraliza (RT-06.22)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Buffer no volátil ≥ 8 GB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Terreno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DB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RT-03.10: 72 h sin cobertura sin pérdida de registro; RT-10.05: hasta 12 días (288 h) de cierre fronterizo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Motor de geocercas a bordo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Terreno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DB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RT-09.01: registro de llegada y salida automático, sin intervención del conductor y sin equipamiento en instalaciones del cliente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Cálculo de alerta de jornada a bordo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Terreno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DB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Criterio 28: la alerta debe llegar aunque no haya enlace, con anticipación al lugar seguro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Identificación del conductor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Terreno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DB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RT-12.11: sin manipular un dispositivo y sin recordar una credencial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Módulo satelital de ráfaga corta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Terreno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DB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Subconjunto por riesgo. </w:t>
            </w:r>
            <w:r>
              <w:rPr>
                <w:b/>
                <w:sz w:val="18"/>
                <w:szCs w:val="18"/>
              </w:rPr>
              <w:t xml:space="preserve">Población no estimable hasta la medición de RT-03.24</w:t>
            </w:r>
          </w:p>
        </w:tc>
      </w:tr>
      <w:tr>
        <w:trPr>
          <w:cantSplit/>
        </w:trPr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App móvil del conductor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Borde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BM</w:t>
            </w:r>
          </w:p>
        </w:tc>
        <w:tc>
          <w:tcPr>
            <w:tcW w:w="1870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RT-17.01. </w:t>
            </w:r>
            <w:r>
              <w:rPr>
                <w:b/>
                <w:sz w:val="18"/>
                <w:szCs w:val="18"/>
              </w:rPr>
              <w:t xml:space="preserve">Canal voluntario e incentivado; la trazabilidad obligatoria no depende de él</w:t>
            </w:r>
            <w:r>
              <w:rPr>
                <w:sz w:val="18"/>
                <w:szCs w:val="18"/>
              </w:rPr>
              <w:t xml:space="preserve"> (restricciones 1 y 2)</w:t>
            </w:r>
          </w:p>
        </w:tc>
      </w:tr>
    </w:tbl>
    <w:p>
      <w:pPr>
        <w:spacing w:before="0" w:after="100"/>
      </w:pPr>
    </w:p>
    <w:p>
      <w:pPr>
        <w:spacing w:before="0" w:after="140" w:line="264" w:lineRule="auto"/>
      </w:pPr>
      <w:r>
        <w:rPr>
          <w:b/>
        </w:rPr>
        <w:t xml:space="preserve">Reparto resultante:</w:t>
      </w:r>
      <w:r>
        <w:t xml:space="preserve"> 18 en nube · 1 en segunda región · 5 en San Bernardo · 2 en gabinete de terminal · 5 en el dispositivo a bordo · 1 en borde móvil. </w:t>
      </w:r>
      <w:r>
        <w:rPr>
          <w:b/>
        </w:rPr>
        <w:t xml:space="preserve">Cumple el Art. 16.1</w:t>
      </w:r>
      <w:r>
        <w:t xml:space="preserve">: ni exclusivamente nube ni exclusivamente on-premise, y la parte on-premise no es decorativa — sostiene las tres funciones de severidad máxima cuando cae el enlace.</w:t>
      </w:r>
    </w:p>
    <w:p>
      <w:pPr>
        <w:pBdr>
          <w:bottom w:val="single" w:sz="6" w:space="1" w:color="C8D2DE"/>
        </w:pBdr>
        <w:spacing w:before="160" w:after="160"/>
      </w:pPr>
    </w:p>
    <w:p>
      <w:pPr>
        <w:pStyle w:val="Heading1"/>
        <w:keepNext/>
        <w:spacing w:before="320" w:after="120"/>
      </w:pPr>
      <w:r>
        <w:t xml:space="preserve">Tabla B · Matriz de los seis criterios del Artículo 16.2</w:t>
      </w:r>
    </w:p>
    <w:tbl>
      <w:tblPr>
        <w:tblW w:w="935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rPr>
          <w:tblHeader/>
          <w:cantSplit/>
        </w:trPr>
        <w:tc>
          <w:tcPr>
            <w:tcW w:w="1168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>
            <w:tcW w:w="1168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Componente</w:t>
            </w:r>
          </w:p>
        </w:tc>
        <w:tc>
          <w:tcPr>
            <w:tcW w:w="1168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Latencia</w:t>
            </w:r>
          </w:p>
        </w:tc>
        <w:tc>
          <w:tcPr>
            <w:tcW w:w="1168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Criticidad</w:t>
            </w:r>
          </w:p>
        </w:tc>
        <w:tc>
          <w:tcPr>
            <w:tcW w:w="1168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Volumen</w:t>
            </w:r>
          </w:p>
        </w:tc>
        <w:tc>
          <w:tcPr>
            <w:tcW w:w="1168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Regulación</w:t>
            </w:r>
          </w:p>
        </w:tc>
        <w:tc>
          <w:tcPr>
            <w:tcW w:w="1168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Conectividad</w:t>
            </w:r>
          </w:p>
        </w:tc>
        <w:tc>
          <w:tcPr>
            <w:tcW w:w="1168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TCO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Despacho y asignación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≤30 s extremo a extremo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Máxima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96.000 viajes/año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Elástico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Nodo de continuidad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≤30 s local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Máxima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Ventana de 12 h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Opera sin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Fijo, dos nodos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Servicio de jornada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≤30 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Máxima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454 conductores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Datos personales de 258 externos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Elástico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Bus de telemetría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≤100 ms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Peak de reconexión masiva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Elástico por partición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Base transaccional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≤15 ms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Máxima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Particionado mensual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Retención 5–10 años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Reservado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Series de tiempo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≤20 ms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 años en línea + agregación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Por capa hot/cold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Repositorio inmutable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≤1 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Evidencia probatoria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WORM, 10 años siniestros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Por capa de acceso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Identidad y cifrado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≤50 ms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RT-11.10 cifrado a nivel de campo · Ley 21.719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Fijo por HSM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Réplica de DR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RPO ≤15 min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Espejo de producción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Enlace entre regiones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Activo-pasivo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ERP heredado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Externa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Contabilidad y DTE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Único emisor tributario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Existente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Nodo de terminal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12 h de operación autónoma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Opera sin enlace 12 h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4 gabinetes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Buffer a bordo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Inmediata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Máxima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≈0,8 MB en 72 h · ≥8 GB de capacidad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Evidencia de jornada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Opera sin cobertura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Por unidad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Geocercas a bordo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Inmediata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Eventos discretos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Opera sin cobertura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Sin costo marginal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Módulo satelital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 decenas de 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Ráfagas cortas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Sin cobertura celular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Por mensaje</w:t>
            </w:r>
          </w:p>
        </w:tc>
      </w:tr>
      <w:tr>
        <w:trPr>
          <w:cantSplit/>
        </w:trPr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App móvil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≤1 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Media, </w:t>
            </w:r>
            <w:r>
              <w:rPr>
                <w:b/>
                <w:sz w:val="18"/>
                <w:szCs w:val="18"/>
              </w:rPr>
              <w:t xml:space="preserve">no bloqueante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454 potenciales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Consentimiento revocable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enlace</w:t>
            </w:r>
          </w:p>
        </w:tc>
        <w:tc>
          <w:tcPr>
            <w:tcW w:w="1168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Por desarrollo</w:t>
            </w:r>
          </w:p>
        </w:tc>
      </w:tr>
    </w:tbl>
    <w:p>
      <w:pPr>
        <w:spacing w:before="0" w:after="100"/>
      </w:pPr>
    </w:p>
    <w:p>
      <w:pPr>
        <w:spacing w:before="0" w:after="140" w:line="264" w:lineRule="auto"/>
      </w:pPr>
      <w:r>
        <w:rPr>
          <w:i/>
        </w:rPr>
        <w:t xml:space="preserve">Las filas no listadas comparten el perfil de su capa; el detalle completo por componente está en el Subdocumento 4.2.</w:t>
      </w:r>
    </w:p>
    <w:p>
      <w:pPr>
        <w:pBdr>
          <w:bottom w:val="single" w:sz="6" w:space="1" w:color="C8D2DE"/>
        </w:pBdr>
        <w:spacing w:before="160" w:after="160"/>
      </w:pPr>
    </w:p>
    <w:p>
      <w:pPr>
        <w:pStyle w:val="Heading1"/>
        <w:keepNext/>
        <w:spacing w:before="320" w:after="120"/>
      </w:pPr>
      <w:r>
        <w:t xml:space="preserve">Cuatro cambios respecto de la recomendación de D3, con su motivo</w:t>
      </w:r>
    </w:p>
    <w:p>
      <w:pPr>
        <w:spacing w:before="0" w:after="140" w:line="264" w:lineRule="auto"/>
      </w:pPr>
      <w:r>
        <w:rPr>
          <w:b/>
        </w:rPr>
        <w:t xml:space="preserve">1 · Se agrega el nodo de continuidad operacional en San Bernardo (fila 4).</w:t>
      </w:r>
      <w:r>
        <w:t xml:space="preserve"> La recomendación de D3 sitúa el servicio de despacho </w:t>
      </w:r>
      <w:r>
        <w:rPr>
          <w:b/>
        </w:rPr>
        <w:t xml:space="preserve">íntegramente en la nube</w:t>
      </w:r>
      <w:r>
        <w:t xml:space="preserve"> y no contempla ningún componente de continuidad on-premise. Pero </w:t>
      </w:r>
      <w:r>
        <w:rPr>
          <w:b/>
        </w:rPr>
        <w:t xml:space="preserve">RT-03.10 del Caso</w:t>
      </w:r>
      <w:r>
        <w:t xml:space="preserve"> (FEP03 p.31) exige que «los terminales deben operar </w:t>
      </w:r>
      <w:r>
        <w:rPr>
          <w:b/>
        </w:rPr>
        <w:t xml:space="preserve">12 horas sin enlace</w:t>
      </w:r>
      <w:r>
        <w:t xml:space="preserve"> hacia el exterior», y </w:t>
      </w:r>
      <w:r>
        <w:rPr>
          <w:b/>
        </w:rPr>
        <w:t xml:space="preserve">RT-21.06</w:t>
      </w:r>
      <w:r>
        <w:t xml:space="preserve"> clasifica en severidad máxima todo incidente que impida asignar un viaje, emitir un documento de transporte o recibir un evento de emergencia. Sin este nodo, un corte de enlace detiene el despacho.</w:t>
      </w:r>
    </w:p>
    <w:p>
      <w:pPr>
        <w:spacing w:before="0" w:after="140" w:line="264" w:lineRule="auto"/>
      </w:pPr>
      <w:r>
        <w:rPr>
          <w:b/>
        </w:rPr>
        <w:t xml:space="preserve">2 · Se separa la evaluación de geocercas a bordo de la caché en nube (filas 16 y 30).</w:t>
      </w:r>
      <w:r>
        <w:t xml:space="preserve"> D3 asigna la evaluación de geocercas a la caché distribuida en nube. </w:t>
      </w:r>
      <w:r>
        <w:rPr>
          <w:b/>
        </w:rPr>
        <w:t xml:space="preserve">RT-09.01 exige que el registro de llegada y salida sea automático, sin intervención del conductor y sin equipamiento en las instalaciones del cliente</w:t>
      </w:r>
      <w:r>
        <w:t xml:space="preserve"> — y varios puntos de carga no tienen cobertura. La evaluación debe ocurrir </w:t>
      </w:r>
      <w:r>
        <w:rPr>
          <w:b/>
        </w:rPr>
        <w:t xml:space="preserve">a bordo</w:t>
      </w:r>
      <w:r>
        <w:t xml:space="preserve">; la caché en nube sirve para consulta y reporte, no para producir el evento.</w:t>
      </w:r>
    </w:p>
    <w:p>
      <w:pPr>
        <w:spacing w:before="0" w:after="140" w:line="264" w:lineRule="auto"/>
      </w:pPr>
      <w:r>
        <w:rPr>
          <w:b/>
        </w:rPr>
        <w:t xml:space="preserve">3 · Se corrigen dos errores de código y de conteo heredados.</w:t>
      </w:r>
    </w:p>
    <w:p>
      <w:pPr>
        <w:ind w:left="340"/>
        <w:spacing w:before="20" w:after="60"/>
      </w:pPr>
      <w:r>
        <w:t xml:space="preserve">•  </w:t>
      </w:r>
      <w:r>
        <w:t xml:space="preserve">Las 72 h son </w:t>
      </w:r>
      <w:r>
        <w:rPr>
          <w:b/>
        </w:rPr>
        <w:t xml:space="preserve">RT-03.10</w:t>
      </w:r>
      <w:r>
        <w:t xml:space="preserve">, no RT-03.13. RT-03.13 es la declaración de funciones no disponibles</w:t>
      </w:r>
    </w:p>
    <w:p>
      <w:pPr>
        <w:spacing w:before="0" w:after="140" w:line="264" w:lineRule="auto"/>
      </w:pPr>
      <w:r>
        <w:t xml:space="preserve">sin conexión.</w:t>
      </w:r>
    </w:p>
    <w:p>
      <w:pPr>
        <w:ind w:left="340"/>
        <w:spacing w:before="20" w:after="60"/>
      </w:pPr>
      <w:r>
        <w:t xml:space="preserve">•  </w:t>
      </w:r>
      <w:r>
        <w:t xml:space="preserve">Son </w:t>
      </w:r>
      <w:r>
        <w:rPr>
          <w:b/>
        </w:rPr>
        <w:t xml:space="preserve">cuatro terminales regionales más San Bernardo</w:t>
      </w:r>
      <w:r>
        <w:t xml:space="preserve">, cinco en total. La descarga por Wi-Fi</w:t>
      </w:r>
    </w:p>
    <w:p>
      <w:pPr>
        <w:spacing w:before="0" w:after="140" w:line="264" w:lineRule="auto"/>
      </w:pPr>
      <w:r>
        <w:t xml:space="preserve">ocurre en los cinco, no en «los 5 terminales regionales».</w:t>
      </w:r>
    </w:p>
    <w:p>
      <w:pPr>
        <w:spacing w:before="0" w:after="140" w:line="264" w:lineRule="auto"/>
      </w:pPr>
      <w:r>
        <w:rPr>
          <w:b/>
        </w:rPr>
        <w:t xml:space="preserve">4 · El buffer cubre más unidades que las 182 declaradas.</w:t>
      </w:r>
      <w:r>
        <w:t xml:space="preserve"> D3 lo dimensiona para «148 propias y 34 adheridas». Se mantiene esa base, pero el plan de reposición y el stock del 10 % (numeral 8.4) deben cubrir además </w:t>
      </w:r>
      <w:r>
        <w:rPr>
          <w:b/>
        </w:rPr>
        <w:t xml:space="preserve">los terceros con dispositivo que adhieran y acepten kit</w:t>
      </w:r>
      <w:r>
        <w:t xml:space="preserve">, cuyo número depende del plan de adhesión de D2 y hoy no está cerrado.</w:t>
      </w:r>
    </w:p>
    <w:p>
      <w:pPr>
        <w:pBdr>
          <w:bottom w:val="single" w:sz="6" w:space="1" w:color="C8D2DE"/>
        </w:pBdr>
        <w:spacing w:before="160" w:after="160"/>
      </w:pPr>
    </w:p>
    <w:p>
      <w:pPr>
        <w:pStyle w:val="Heading1"/>
        <w:keepNext/>
        <w:spacing w:before="320" w:after="120"/>
      </w:pPr>
      <w:r>
        <w:t xml:space="preserve">Consecuencia que reabre la consulta C-03</w:t>
      </w:r>
    </w:p>
    <w:p>
      <w:pPr>
        <w:spacing w:before="0" w:after="140" w:line="264" w:lineRule="auto"/>
      </w:pPr>
      <w:r>
        <w:t xml:space="preserve">D3 sitúa el </w:t>
      </w:r>
      <w:r>
        <w:rPr>
          <w:b/>
        </w:rPr>
        <w:t xml:space="preserve">ERP contable heredado en la sala de San Bernardo</w:t>
      </w:r>
      <w:r>
        <w:t xml:space="preserve">, y ese sistema es el </w:t>
      </w:r>
      <w:r>
        <w:rPr>
          <w:b/>
        </w:rPr>
        <w:t xml:space="preserve">único emisor de documentos tributarios</w:t>
      </w:r>
      <w:r>
        <w:t xml:space="preserve"> de la compañía. Sumado al nodo de continuidad de la fila 4, San Bernardo deja de alojar solo terminación de enlaces y custodia.</w:t>
      </w:r>
    </w:p>
    <w:p>
      <w:pPr>
        <w:spacing w:before="0" w:after="140" w:line="264" w:lineRule="auto"/>
      </w:pPr>
      <w:r>
        <w:t xml:space="preserve">El numeral 6.1 transversal aplica </w:t>
      </w:r>
      <w:r>
        <w:rPr>
          <w:b/>
        </w:rPr>
        <w:t xml:space="preserve">íntegramente RT-06.01 a RT-06.24</w:t>
      </w:r>
      <w:r>
        <w:t xml:space="preserve"> cuando «el caso requiere cómputo, almacenamiento y procesamiento </w:t>
      </w:r>
      <w:r>
        <w:rPr>
          <w:b/>
        </w:rPr>
        <w:t xml:space="preserve">sustantivos</w:t>
      </w:r>
      <w:r>
        <w:t xml:space="preserve"> en las instalaciones del CLIENTE». Un ERP que emite todos los documentos tributarios, más el nodo que sostiene tres funciones de severidad máxima, es discutible que sea «no sustantivo».</w:t>
      </w:r>
    </w:p>
    <w:p>
      <w:pPr>
        <w:spacing w:before="0" w:after="140" w:line="264" w:lineRule="auto"/>
      </w:pPr>
      <w:r>
        <w:t xml:space="preserve">→ </w:t>
      </w:r>
      <w:r>
        <w:rPr>
          <w:b/>
        </w:rPr>
        <w:t xml:space="preserve">Refuerza la consulta C-03</w:t>
      </w:r>
      <w:r>
        <w:t xml:space="preserve">: hay que preguntar al CLIENTE a qué tipología debe llevarse la sala, porque la diferencia de alcance —esclusa, blindaje perimetral, espacio de enrolamiento— es grande en ambas direcciones y el numeral 6.1 penaliza igual sobredimensionar que subdimensionar.</w:t>
      </w:r>
    </w:p>
    <w:p>
      <w:pPr>
        <w:spacing w:before="0" w:after="140" w:line="264" w:lineRule="auto"/>
      </w:pPr>
      <w:r>
        <w:t xml:space="preserve">Mientras no haya respuesta, esta tabla declara </w:t>
      </w:r>
      <w:r>
        <w:rPr>
          <w:b/>
        </w:rPr>
        <w:t xml:space="preserve">sala técnica secundaria o de sitio</w:t>
      </w:r>
      <w:r>
        <w:t xml:space="preserve"> y deja el alcance íntegro costeado como alternativa.</w:t>
      </w:r>
    </w:p>
    <w:p>
      <w:pPr>
        <w:pBdr>
          <w:bottom w:val="single" w:sz="6" w:space="1" w:color="C8D2DE"/>
        </w:pBdr>
        <w:spacing w:before="160" w:after="160"/>
      </w:pPr>
    </w:p>
    <w:p>
      <w:pPr>
        <w:pStyle w:val="Heading1"/>
        <w:keepNext/>
        <w:spacing w:before="320" w:after="120"/>
      </w:pPr>
      <w:r>
        <w:t xml:space="preserve">Lo que esta tabla todavía no puede cerrar</w:t>
      </w:r>
    </w:p>
    <w:tbl>
      <w:tblPr>
        <w:tblW w:w="9350" w:type="dxa"/>
        <w:tblLayout w:type="fixed"/>
        <w:tblBorders>
          <w:top w:val="single" w:sz="4" w:space="0" w:color="C8D2DE"/>
          <w:left w:val="single" w:sz="4" w:space="0" w:color="C8D2DE"/>
          <w:bottom w:val="single" w:sz="4" w:space="0" w:color="C8D2DE"/>
          <w:right w:val="single" w:sz="4" w:space="0" w:color="C8D2DE"/>
          <w:insideH w:val="single" w:sz="4" w:space="0" w:color="C8D2DE"/>
          <w:insideV w:val="single" w:sz="4" w:space="0" w:color="C8D2DE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3116"/>
        <w:gridCol w:w="3116"/>
        <w:gridCol w:w="3116"/>
      </w:tblGrid>
      <w:tr>
        <w:trPr>
          <w:tblHeader/>
          <w:cantSplit/>
        </w:trPr>
        <w:tc>
          <w:tcPr>
            <w:tcW w:w="3116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Ítem</w:t>
            </w:r>
          </w:p>
        </w:tc>
        <w:tc>
          <w:tcPr>
            <w:tcW w:w="3116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Por qué</w:t>
            </w:r>
          </w:p>
        </w:tc>
        <w:tc>
          <w:tcPr>
            <w:tcW w:w="3116" w:type="dxa"/>
            <w:shd w:val="clear" w:fill="EDF2F8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Cómo se cierra</w:t>
            </w:r>
          </w:p>
        </w:tc>
      </w:tr>
      <w:tr>
        <w:trPr>
          <w:cantSplit/>
        </w:trPr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Población del módulo satelital (fila 33)</w:t>
            </w:r>
          </w:p>
        </w:tc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b/>
                <w:sz w:val="18"/>
                <w:szCs w:val="18"/>
              </w:rPr>
              <w:t xml:space="preserve">RT-03.24 del Caso prohíbe suponer la cobertura</w:t>
            </w:r>
            <w:r>
              <w:rPr>
                <w:sz w:val="18"/>
                <w:szCs w:val="18"/>
              </w:rPr>
              <w:t xml:space="preserve">: exige medirla en terreno</w:t>
            </w:r>
          </w:p>
        </w:tc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Campaña de medición, Etapa 1</w:t>
            </w:r>
          </w:p>
        </w:tc>
      </w:tr>
      <w:tr>
        <w:trPr>
          <w:cantSplit/>
        </w:trPr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Unidades totales con buffer (fila 29)</w:t>
            </w:r>
          </w:p>
        </w:tc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Depende de cuántos terceros adhieran</w:t>
            </w:r>
          </w:p>
        </w:tc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Plan de adhesión de D2 (criterio 27)</w:t>
            </w:r>
          </w:p>
        </w:tc>
      </w:tr>
      <w:tr>
        <w:trPr>
          <w:cantSplit/>
        </w:trPr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Dimensionamiento del nodo de continuidad (fila 4)</w:t>
            </w:r>
          </w:p>
        </w:tc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Requiere el peak de asignación de la torre</w:t>
            </w:r>
          </w:p>
        </w:tc>
        <w:tc>
          <w:tcPr>
            <w:tcW w:w="3116" w:type="dxa"/>
            <w:vAlign w:val="top"/>
          </w:tcPr>
          <w:p>
            <w:pPr>
              <w:spacing w:before="40" w:after="40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RT-09.02 + volumetría del Cap. 14.2</w:t>
            </w:r>
          </w:p>
        </w:tc>
      </w:tr>
    </w:tbl>
    <w:p>
      <w:pPr>
        <w:spacing w:before="0" w:after="100"/>
      </w:pPr>
    </w:p>
    <w:sectPr>
      <w:footerReference w:type="default" r:id="rId3"/>
      <w:pgSz w:w="11906" w:h="16838"/>
      <w:pgMar w:top="1134" w:right="1134" w:bottom="1134" w:left="1134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pBdr>
        <w:top w:val="single" w:sz="4" w:space="6" w:color="C8D2DE"/>
      </w:pBdr>
    </w:pPr>
    <w:r>
      <w:rPr>
        <w:sz w:val="17"/>
        <w:color w:val="6B7280"/>
      </w:rPr>
      <w:t xml:space="preserve">Dupla 4 · Subdoc. 4.2 · TFEP-01/2026 — </w:t>
    </w:r>
    <w:r>
      <w:fldChar w:fldCharType="begin"/>
    </w:r>
    <w:r>
      <w:instrText xml:space="preserve"> PAGE </w:instrText>
    </w:r>
    <w:r>
      <w:fldChar w:fldCharType="separate"/>
    </w:r>
    <w:r>
      <w:rPr>
        <w:sz w:val="17"/>
      </w:rPr>
      <w:t>1</w: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  <w:lang w:val="es-CL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ulo0">
    <w:name w:val="Title"/>
    <w:qFormat/>
    <w:rPr>
      <w:b/>
      <w:sz w:val="40"/>
      <w:color w:val="12243A"/>
    </w:rPr>
  </w:style>
  <w:style w:type="paragraph" w:styleId="Heading1">
    <w:name w:val="heading 1"/>
    <w:qFormat/>
    <w:pPr>
      <w:outlineLvl w:val="0"/>
      <w:pBdr>
        <w:bottom w:val="single" w:sz="8" w:space="4" w:color="1B4FA8"/>
      </w:pBdr>
    </w:pPr>
    <w:rPr>
      <w:b/>
      <w:sz w:val="30"/>
      <w:color w:val="1B4FA8"/>
    </w:rPr>
  </w:style>
  <w:style w:type="paragraph" w:styleId="Heading2">
    <w:name w:val="heading 2"/>
    <w:qFormat/>
    <w:pPr>
      <w:outlineLvl w:val="1"/>
    </w:pPr>
    <w:rPr>
      <w:b/>
      <w:sz w:val="25"/>
      <w:color w:val="12243A"/>
    </w:rPr>
  </w:style>
  <w:style w:type="paragraph" w:styleId="Heading3">
    <w:name w:val="heading 3"/>
    <w:qFormat/>
    <w:pPr>
      <w:outlineLvl w:val="2"/>
    </w:pPr>
    <w:rPr>
      <w:b/>
      <w:i/>
      <w:sz w:val="23"/>
      <w:color w:val="41506A"/>
    </w:rPr>
  </w:style>
  <w:style w:type="paragraph" w:styleId="Codigo">
    <w:name w:val="Codigo"/>
    <w:rPr>
      <w:rFonts w:ascii="Consolas" w:hAnsi="Consolas"/>
      <w:sz w:val="1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Formulario T-11 — Tabla de emplazamiento</dc:title>
  <dc:subject>audIT · Caso 10 · Subdocumento 4.2 · TFEP-01/2026</dc:subject>
  <dc:creator>Dupla 4</dc:creator>
  <cp:revision>1</cp:revision>
</cp:coreProperties>
</file>