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ulo0"/>
        <w:keepNext/>
        <w:spacing w:before="0" w:after="160"/>
      </w:pPr>
      <w:r>
        <w:t xml:space="preserve">Informe y Presentación 1 — Documento consolidado</w:t>
      </w:r>
    </w:p>
    <w:p>
      <w:pPr>
        <w:spacing w:before="0" w:after="140" w:line="264" w:lineRule="auto"/>
      </w:pPr>
      <w:r>
        <w:rPr>
          <w:b/>
        </w:rPr>
        <w:t xml:space="preserve">Proponente:</w:t>
      </w:r>
      <w:r>
        <w:t xml:space="preserve"> audIT · </w:t>
      </w:r>
      <w:r>
        <w:rPr>
          <w:b/>
        </w:rPr>
        <w:t xml:space="preserve">Mandante:</w:t>
      </w:r>
      <w:r>
        <w:t xml:space="preserve"> Transportes Curimón S.A. </w:t>
      </w:r>
      <w:r>
        <w:rPr>
          <w:b/>
        </w:rPr>
        <w:t xml:space="preserve">Licitación N.º TFEP-01/2026 · Caso 10 Transporte de Carga</w:t>
      </w:r>
      <w:r>
        <w:t xml:space="preserve"> Taller de Formulación de Proyectos Informáticos (ICI-5444) · Escuela de Informática · PUCV</w:t>
      </w:r>
    </w:p>
    <w:p>
      <w:pPr>
        <w:shd w:val="clear" w:fill="F4F7FB"/>
        <w:pBdr>
          <w:left w:val="single" w:sz="18" w:space="8" w:color="9CC3F5"/>
        </w:pBdr>
        <w:ind w:left="200"/>
        <w:spacing w:before="100" w:after="140"/>
      </w:pPr>
      <w:r>
        <w:rPr>
          <w:b/>
          <w:sz w:val="21"/>
          <w:szCs w:val="21"/>
        </w:rPr>
        <w:t xml:space="preserve">Qué es este documento.</w:t>
      </w:r>
      <w:r>
        <w:rPr>
          <w:sz w:val="21"/>
          <w:szCs w:val="21"/>
        </w:rPr>
        <w:t xml:space="preserve"> Consolida el trabajo de las cuatro duplas en las seis presentaciones que exige el enunciado del Informe 1. No reemplaza los subdocumentos: cada sección remite al archivo donde está el desarrollo completo. Incluye al final una </w:t>
      </w:r>
      <w:r>
        <w:rPr>
          <w:b/>
          <w:sz w:val="21"/>
          <w:szCs w:val="21"/>
        </w:rPr>
        <w:t xml:space="preserve">auditoría de consistencia</w:t>
      </w:r>
      <w:r>
        <w:rPr>
          <w:sz w:val="21"/>
          <w:szCs w:val="21"/>
        </w:rPr>
        <w:t xml:space="preserve"> entre duplas con lo que hay que corregir antes de la entrega. </w:t>
      </w:r>
      <w:r>
        <w:rPr>
          <w:b/>
          <w:sz w:val="21"/>
          <w:szCs w:val="21"/>
        </w:rPr>
        <w:t xml:space="preserve">Regla de precios (Art. 50.2, FEP01 p.29, verificado textualmente):</w:t>
      </w:r>
      <w:r>
        <w:rPr>
          <w:sz w:val="21"/>
          <w:szCs w:val="21"/>
        </w:rPr>
        <w:t xml:space="preserve"> «la Oferta Técnica no podrá contener información de precios, tarifas, valores unitarios ni cifra alguna que permita inferir el monto de la oferta económica. Su inclusión es causal de exclusión inmediata.» Las cifras en pesos que aparecen aquí son </w:t>
      </w:r>
      <w:r>
        <w:rPr>
          <w:b/>
          <w:sz w:val="21"/>
          <w:szCs w:val="21"/>
        </w:rPr>
        <w:t xml:space="preserve">del CLIENTE y provienen del caso</w:t>
      </w:r>
      <w:r>
        <w:rPr>
          <w:sz w:val="21"/>
          <w:szCs w:val="21"/>
        </w:rPr>
        <w:t xml:space="preserve">; ninguna es valorización de la oferta de audIT.</w:t>
      </w:r>
    </w:p>
    <w:p>
      <w:pPr>
        <w:pBdr>
          <w:bottom w:val="single" w:sz="6" w:space="1" w:color="C8D2DE"/>
        </w:pBdr>
        <w:spacing w:before="160" w:after="160"/>
      </w:pPr>
    </w:p>
    <w:p>
      <w:pPr>
        <w:pStyle w:val="Heading1"/>
        <w:keepNext/>
        <w:spacing w:before="320" w:after="120"/>
      </w:pPr>
      <w:r>
        <w:t xml:space="preserve">1 · Debe presentar la Empresa</w:t>
      </w:r>
    </w:p>
    <w:p>
      <w:pPr>
        <w:spacing w:before="0" w:after="140" w:line="264" w:lineRule="auto"/>
      </w:pPr>
      <w:r>
        <w:rPr>
          <w:b/>
        </w:rPr>
        <w:t xml:space="preserve">Fuente completa:</w:t>
      </w:r>
      <w:r>
        <w:t xml:space="preserve"> </w:t>
      </w:r>
      <w:r>
        <w:rPr>
          <w:rFonts w:ascii="Consolas" w:hAnsi="Consolas"/>
          <w:color w:val="5B21B6"/>
          <w:sz w:val="20"/>
          <w:szCs w:val="20"/>
          <w:shd w:val="clear" w:fill="F1F4F8"/>
        </w:rPr>
        <w:t xml:space="preserve">equipo/D1/subdoc1-empresa.md</w:t>
      </w:r>
      <w:r>
        <w:t xml:space="preserve"> · </w:t>
      </w:r>
      <w:r>
        <w:rPr>
          <w:b/>
        </w:rPr>
        <w:t xml:space="preserve">Formulario T-6</w:t>
      </w:r>
      <w:r>
        <w:t xml:space="preserve"> · Peso 4 %</w:t>
      </w:r>
    </w:p>
    <w:p>
      <w:pPr>
        <w:spacing w:before="0" w:after="140" w:line="264" w:lineRule="auto"/>
      </w:pPr>
      <w:r>
        <w:rPr>
          <w:b/>
        </w:rPr>
        <w:t xml:space="preserve">audIT</w:t>
      </w:r>
      <w:r>
        <w:t xml:space="preserve"> es una empresa de ingeniería de software, arquitectura de datos y ciberseguridad industrial fundada en 2022, orientada a la continuidad operacional, la visibilidad telemática y la trazabilidad analítica en organizaciones con operaciones distribuidas y conectividad intermitente.</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4675"/>
        <w:gridCol w:w="4675"/>
      </w:tblGrid>
      <w:tr>
        <w:trPr>
          <w:tblHeader/>
          <w:cantSplit/>
        </w:trPr>
        <w:tc>
          <w:tcPr>
            <w:tcW w:w="4675" w:type="dxa"/>
            <w:shd w:val="clear" w:fill="EDF2F8"/>
            <w:vAlign w:val="top"/>
          </w:tcPr>
          <w:p>
            <w:pPr>
              <w:spacing w:before="40" w:after="40"/>
              <w:rPr>
                <w:sz w:val="18"/>
              </w:rPr>
            </w:pPr>
            <w:r>
              <w:rPr>
                <w:b/>
                <w:sz w:val="18"/>
                <w:szCs w:val="18"/>
              </w:rPr>
              <w:t xml:space="preserve">Misión</w:t>
            </w:r>
          </w:p>
        </w:tc>
        <w:tc>
          <w:tcPr>
            <w:tcW w:w="4675" w:type="dxa"/>
            <w:shd w:val="clear" w:fill="EDF2F8"/>
            <w:vAlign w:val="top"/>
          </w:tcPr>
          <w:p>
            <w:pPr>
              <w:spacing w:before="40" w:after="40"/>
              <w:rPr>
                <w:sz w:val="18"/>
              </w:rPr>
            </w:pPr>
            <w:r>
              <w:rPr>
                <w:b/>
                <w:sz w:val="18"/>
                <w:szCs w:val="18"/>
              </w:rPr>
              <w:t xml:space="preserve">Transformar operaciones críticas de campo en flujos de datos auditables, continuos y seguros</w:t>
            </w:r>
          </w:p>
        </w:tc>
      </w:tr>
      <w:tr>
        <w:trPr>
          <w:cantSplit/>
        </w:trPr>
        <w:tc>
          <w:tcPr>
            <w:tcW w:w="4675" w:type="dxa"/>
            <w:vAlign w:val="top"/>
          </w:tcPr>
          <w:p>
            <w:pPr>
              <w:spacing w:before="40" w:after="40"/>
              <w:rPr>
                <w:sz w:val="18"/>
              </w:rPr>
            </w:pPr>
            <w:r>
              <w:rPr>
                <w:b/>
                <w:sz w:val="18"/>
                <w:szCs w:val="18"/>
              </w:rPr>
              <w:t xml:space="preserve">Visión</w:t>
            </w:r>
          </w:p>
        </w:tc>
        <w:tc>
          <w:tcPr>
            <w:tcW w:w="4675" w:type="dxa"/>
            <w:vAlign w:val="top"/>
          </w:tcPr>
          <w:p>
            <w:pPr>
              <w:spacing w:before="40" w:after="40"/>
              <w:rPr>
                <w:sz w:val="18"/>
              </w:rPr>
            </w:pPr>
            <w:r>
              <w:rPr>
                <w:sz w:val="18"/>
                <w:szCs w:val="18"/>
              </w:rPr>
              <w:t xml:space="preserve">Ser el socio tecnológico de referencia en el Cono Sur para sistemas de misión crítica bajo arquitecturas resilientes </w:t>
            </w:r>
            <w:r>
              <w:rPr>
                <w:i/>
                <w:sz w:val="18"/>
                <w:szCs w:val="18"/>
              </w:rPr>
              <w:t xml:space="preserve">offline-first</w:t>
            </w:r>
          </w:p>
        </w:tc>
      </w:tr>
      <w:tr>
        <w:trPr>
          <w:cantSplit/>
        </w:trPr>
        <w:tc>
          <w:tcPr>
            <w:tcW w:w="4675" w:type="dxa"/>
            <w:vAlign w:val="top"/>
          </w:tcPr>
          <w:p>
            <w:pPr>
              <w:spacing w:before="40" w:after="40"/>
              <w:rPr>
                <w:sz w:val="18"/>
              </w:rPr>
            </w:pPr>
            <w:r>
              <w:rPr>
                <w:b/>
                <w:sz w:val="18"/>
                <w:szCs w:val="18"/>
              </w:rPr>
              <w:t xml:space="preserve">Valores</w:t>
            </w:r>
          </w:p>
        </w:tc>
        <w:tc>
          <w:tcPr>
            <w:tcW w:w="4675" w:type="dxa"/>
            <w:vAlign w:val="top"/>
          </w:tcPr>
          <w:p>
            <w:pPr>
              <w:spacing w:before="40" w:after="40"/>
              <w:rPr>
                <w:sz w:val="18"/>
              </w:rPr>
            </w:pPr>
            <w:r>
              <w:rPr>
                <w:sz w:val="18"/>
                <w:szCs w:val="18"/>
              </w:rPr>
              <w:t xml:space="preserve">Rigor metodológico · seguridad por diseño (Zero Trust) · transparencia auditable · continuidad de servicio</w:t>
            </w:r>
          </w:p>
        </w:tc>
      </w:tr>
      <w:tr>
        <w:trPr>
          <w:cantSplit/>
        </w:trPr>
        <w:tc>
          <w:tcPr>
            <w:tcW w:w="4675" w:type="dxa"/>
            <w:vAlign w:val="top"/>
          </w:tcPr>
          <w:p>
            <w:pPr>
              <w:spacing w:before="40" w:after="40"/>
              <w:rPr>
                <w:sz w:val="18"/>
              </w:rPr>
            </w:pPr>
            <w:r>
              <w:rPr>
                <w:b/>
                <w:sz w:val="18"/>
                <w:szCs w:val="18"/>
              </w:rPr>
              <w:t xml:space="preserve">Casa matriz</w:t>
            </w:r>
          </w:p>
        </w:tc>
        <w:tc>
          <w:tcPr>
            <w:tcW w:w="4675" w:type="dxa"/>
            <w:vAlign w:val="top"/>
          </w:tcPr>
          <w:p>
            <w:pPr>
              <w:spacing w:before="40" w:after="40"/>
              <w:rPr>
                <w:sz w:val="18"/>
              </w:rPr>
            </w:pPr>
            <w:r>
              <w:rPr>
                <w:sz w:val="18"/>
                <w:szCs w:val="18"/>
              </w:rPr>
              <w:t xml:space="preserve">Viña del Mar · laboratorio de dispositivos IoT y embarcados en Santiago</w:t>
            </w:r>
          </w:p>
        </w:tc>
      </w:tr>
    </w:tbl>
    <w:p>
      <w:pPr>
        <w:spacing w:before="0" w:after="100"/>
      </w:pPr>
    </w:p>
    <w:p>
      <w:pPr>
        <w:spacing w:before="0" w:after="140" w:line="264" w:lineRule="auto"/>
      </w:pPr>
      <w:r>
        <w:rPr>
          <w:b/>
        </w:rPr>
        <w:t xml:space="preserve">Tres líneas de negocio:</w:t>
      </w:r>
    </w:p>
    <w:p>
      <w:pPr>
        <w:ind w:left="340"/>
        <w:spacing w:before="20" w:after="60"/>
      </w:pPr>
      <w:r>
        <w:t xml:space="preserve">1.  </w:t>
      </w:r>
      <w:r>
        <w:rPr>
          <w:b/>
        </w:rPr>
        <w:t xml:space="preserve">Ingeniería IoT y sistemas de terreno.</w:t>
      </w:r>
      <w:r>
        <w:t xml:space="preserve"> Firmware industrial, telemetría vehicular</w:t>
      </w:r>
    </w:p>
    <w:p>
      <w:pPr>
        <w:spacing w:before="0" w:after="140" w:line="264" w:lineRule="auto"/>
      </w:pPr>
      <w:r>
        <w:t xml:space="preserve">multimarca (SAE J1939, rFMS, tacógrafos digitales) y el paquete embarcado </w:t>
      </w:r>
      <w:r>
        <w:rPr>
          <w:i/>
        </w:rPr>
        <w:t xml:space="preserve">audIT EdgeHub</w:t>
      </w:r>
      <w:r>
        <w:t xml:space="preserve"> con almacenamiento local inalterable y sincronización tras desconexión prolongada.</w:t>
      </w:r>
    </w:p>
    <w:p>
      <w:pPr>
        <w:ind w:left="340"/>
        <w:spacing w:before="20" w:after="60"/>
      </w:pPr>
      <w:r>
        <w:t xml:space="preserve">2.  </w:t>
      </w:r>
      <w:r>
        <w:rPr>
          <w:b/>
        </w:rPr>
        <w:t xml:space="preserve">Plataformas de datos y analítica avanzada.</w:t>
      </w:r>
      <w:r>
        <w:t xml:space="preserve"> </w:t>
      </w:r>
      <w:r>
        <w:rPr>
          <w:i/>
        </w:rPr>
        <w:t xml:space="preserve">audIT TelemetryCore</w:t>
      </w:r>
      <w:r>
        <w:t xml:space="preserve">: ingestión masiva de</w:t>
      </w:r>
    </w:p>
    <w:p>
      <w:pPr>
        <w:spacing w:before="0" w:after="140" w:line="264" w:lineRule="auto"/>
      </w:pPr>
      <w:r>
        <w:t xml:space="preserve">eventos, motores de despacho algorítmico y tableros operacionales.</w:t>
      </w:r>
    </w:p>
    <w:p>
      <w:pPr>
        <w:ind w:left="340"/>
        <w:spacing w:before="20" w:after="60"/>
      </w:pPr>
      <w:r>
        <w:t xml:space="preserve">3.  </w:t>
      </w:r>
      <w:r>
        <w:rPr>
          <w:b/>
        </w:rPr>
        <w:t xml:space="preserve">Consultoría en arquitectura híbrida y ciberseguridad operacional.</w:t>
      </w:r>
      <w:r>
        <w:t xml:space="preserve"> Capas anticorrupción</w:t>
      </w:r>
    </w:p>
    <w:p>
      <w:pPr>
        <w:spacing w:before="0" w:after="140" w:line="264" w:lineRule="auto"/>
      </w:pPr>
      <w:r>
        <w:t xml:space="preserve">para convivencia con ERP heredados, OWASP SAMM y gobierno de datos bajo la Ley N.º 21.719.</w:t>
      </w:r>
    </w:p>
    <w:p>
      <w:pPr>
        <w:spacing w:before="0" w:after="140" w:line="264" w:lineRule="auto"/>
      </w:pPr>
      <w:r>
        <w:rPr>
          <w:b/>
        </w:rPr>
        <w:t xml:space="preserve">Capacidad de soporte en terreno.</w:t>
      </w:r>
      <w:r>
        <w:t xml:space="preserve"> Convenios con red técnica certificada con presencia permanente en los cuatro nodos regionales del CLIENTE —Antofagasta, Talca, Los Ángeles y Puerto Montt— con intervención in situ en menos de 4 horas sobre el corredor de 3.000 km. Da cumplimiento a </w:t>
      </w:r>
      <w:r>
        <w:rPr>
          <w:b/>
        </w:rPr>
        <w:t xml:space="preserve">RT-08.04</w:t>
      </w:r>
      <w:r>
        <w:t xml:space="preserve"> y </w:t>
      </w:r>
      <w:r>
        <w:rPr>
          <w:b/>
        </w:rPr>
        <w:t xml:space="preserve">RT-21.16</w:t>
      </w:r>
      <w:r>
        <w:t xml:space="preserve">.</w:t>
      </w:r>
    </w:p>
    <w:p>
      <w:pPr>
        <w:pBdr>
          <w:bottom w:val="single" w:sz="6" w:space="1" w:color="C8D2DE"/>
        </w:pBdr>
        <w:spacing w:before="160" w:after="160"/>
      </w:pPr>
    </w:p>
    <w:p>
      <w:pPr>
        <w:pStyle w:val="Heading1"/>
        <w:keepNext/>
        <w:spacing w:before="320" w:after="120"/>
      </w:pPr>
      <w:r>
        <w:t xml:space="preserve">2 · Debe presentar el Problema</w:t>
      </w:r>
    </w:p>
    <w:p>
      <w:pPr>
        <w:spacing w:before="0" w:after="140" w:line="264" w:lineRule="auto"/>
      </w:pPr>
      <w:r>
        <w:rPr>
          <w:b/>
        </w:rPr>
        <w:t xml:space="preserve">Fuente completa:</w:t>
      </w:r>
      <w:r>
        <w:t xml:space="preserve"> </w:t>
      </w:r>
      <w:r>
        <w:rPr>
          <w:rFonts w:ascii="Consolas" w:hAnsi="Consolas"/>
          <w:color w:val="5B21B6"/>
          <w:sz w:val="20"/>
          <w:szCs w:val="20"/>
          <w:shd w:val="clear" w:fill="F1F4F8"/>
        </w:rPr>
        <w:t xml:space="preserve">equipo/D1/subdoc2-problema.md</w:t>
      </w:r>
      <w:r>
        <w:t xml:space="preserve"> · </w:t>
      </w:r>
      <w:r>
        <w:rPr>
          <w:b/>
        </w:rPr>
        <w:t xml:space="preserve">T-7 subdoc. 2</w:t>
      </w:r>
      <w:r>
        <w:t xml:space="preserve"> · Peso 11 %</w:t>
      </w:r>
    </w:p>
    <w:p>
      <w:pPr>
        <w:pStyle w:val="Heading2"/>
        <w:keepNext/>
        <w:spacing w:before="260" w:after="100"/>
      </w:pPr>
      <w:r>
        <w:t xml:space="preserve">El problema raíz</w:t>
      </w:r>
    </w:p>
    <w:p>
      <w:pPr>
        <w:spacing w:before="0" w:after="140" w:line="264" w:lineRule="auto"/>
      </w:pPr>
      <w:r>
        <w:rPr>
          <w:b/>
        </w:rPr>
        <w:t xml:space="preserve">La responsabilidad y el control no coinciden.</w:t>
      </w:r>
      <w:r>
        <w:t xml:space="preserve"> Curimón soporta el 100 % de la responsabilidad sobre cargas, siniestros y fiscalizaciones, pero </w:t>
      </w:r>
      <w:r>
        <w:rPr>
          <w:b/>
        </w:rPr>
        <w:t xml:space="preserve">el 60,4 % de su capacidad de transporte</w:t>
      </w:r>
      <w:r>
        <w:t xml:space="preserve"> (226 camiones de 374) y </w:t>
      </w:r>
      <w:r>
        <w:rPr>
          <w:b/>
        </w:rPr>
        <w:t xml:space="preserve">el 56,8 % de sus operadores</w:t>
      </w:r>
      <w:r>
        <w:t xml:space="preserve"> (258 conductores externos de 454) no están bajo su tuición directa. Bajo el régimen de subcontratación de la Ley N.º 20.123, esa disociación es un riesgo latente sin cuantificar.</w:t>
      </w:r>
    </w:p>
    <w:p>
      <w:pPr>
        <w:pStyle w:val="Heading2"/>
        <w:keepNext/>
        <w:spacing w:before="260" w:after="100"/>
      </w:pPr>
      <w:r>
        <w:t xml:space="preserve">La dimensión física</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4675"/>
        <w:gridCol w:w="4675"/>
      </w:tblGrid>
      <w:tr>
        <w:trPr>
          <w:tblHeader/>
          <w:cantSplit/>
        </w:trPr>
        <w:tc>
          <w:tcPr>
            <w:tcW w:w="4675" w:type="dxa"/>
            <w:shd w:val="clear" w:fill="EDF2F8"/>
            <w:vAlign w:val="top"/>
          </w:tcPr>
          <w:p>
            <w:pPr>
              <w:spacing w:before="40" w:after="40"/>
              <w:rPr>
                <w:sz w:val="18"/>
              </w:rPr>
            </w:pPr>
            <w:r>
              <w:rPr>
                <w:b/>
                <w:sz w:val="18"/>
                <w:szCs w:val="18"/>
              </w:rPr>
              <w:t xml:space="preserve">Magnitud</w:t>
            </w:r>
          </w:p>
        </w:tc>
        <w:tc>
          <w:tcPr>
            <w:tcW w:w="4675" w:type="dxa"/>
            <w:shd w:val="clear" w:fill="EDF2F8"/>
            <w:vAlign w:val="top"/>
          </w:tcPr>
          <w:p>
            <w:pPr>
              <w:spacing w:before="40" w:after="40"/>
              <w:rPr>
                <w:sz w:val="18"/>
              </w:rPr>
            </w:pPr>
            <w:r>
              <w:rPr>
                <w:b/>
                <w:sz w:val="18"/>
                <w:szCs w:val="18"/>
              </w:rPr>
              <w:t xml:space="preserve">Valor</w:t>
            </w:r>
          </w:p>
        </w:tc>
      </w:tr>
      <w:tr>
        <w:trPr>
          <w:cantSplit/>
        </w:trPr>
        <w:tc>
          <w:tcPr>
            <w:tcW w:w="4675" w:type="dxa"/>
            <w:vAlign w:val="top"/>
          </w:tcPr>
          <w:p>
            <w:pPr>
              <w:spacing w:before="40" w:after="40"/>
              <w:rPr>
                <w:sz w:val="18"/>
              </w:rPr>
            </w:pPr>
            <w:r>
              <w:rPr>
                <w:sz w:val="18"/>
                <w:szCs w:val="18"/>
              </w:rPr>
              <w:t xml:space="preserve">Viajes al año</w:t>
            </w:r>
          </w:p>
        </w:tc>
        <w:tc>
          <w:tcPr>
            <w:tcW w:w="4675" w:type="dxa"/>
            <w:vAlign w:val="top"/>
          </w:tcPr>
          <w:p>
            <w:pPr>
              <w:spacing w:before="40" w:after="40"/>
              <w:rPr>
                <w:sz w:val="18"/>
              </w:rPr>
            </w:pPr>
            <w:r>
              <w:rPr>
                <w:sz w:val="18"/>
                <w:szCs w:val="18"/>
              </w:rPr>
              <w:t xml:space="preserve">96.000</w:t>
            </w:r>
          </w:p>
        </w:tc>
      </w:tr>
      <w:tr>
        <w:trPr>
          <w:cantSplit/>
        </w:trPr>
        <w:tc>
          <w:tcPr>
            <w:tcW w:w="4675" w:type="dxa"/>
            <w:vAlign w:val="top"/>
          </w:tcPr>
          <w:p>
            <w:pPr>
              <w:spacing w:before="40" w:after="40"/>
              <w:rPr>
                <w:sz w:val="18"/>
              </w:rPr>
            </w:pPr>
            <w:r>
              <w:rPr>
                <w:sz w:val="18"/>
                <w:szCs w:val="18"/>
              </w:rPr>
              <w:t xml:space="preserve">Kilómetros al año</w:t>
            </w:r>
          </w:p>
        </w:tc>
        <w:tc>
          <w:tcPr>
            <w:tcW w:w="4675" w:type="dxa"/>
            <w:vAlign w:val="top"/>
          </w:tcPr>
          <w:p>
            <w:pPr>
              <w:spacing w:before="40" w:after="40"/>
              <w:rPr>
                <w:sz w:val="18"/>
              </w:rPr>
            </w:pPr>
            <w:r>
              <w:rPr>
                <w:sz w:val="18"/>
                <w:szCs w:val="18"/>
              </w:rPr>
              <w:t xml:space="preserve">41.000.000 · </w:t>
            </w:r>
            <w:r>
              <w:rPr>
                <w:b/>
                <w:sz w:val="18"/>
                <w:szCs w:val="18"/>
              </w:rPr>
              <w:t xml:space="preserve">26 % en vacío</w:t>
            </w:r>
          </w:p>
        </w:tc>
      </w:tr>
      <w:tr>
        <w:trPr>
          <w:cantSplit/>
        </w:trPr>
        <w:tc>
          <w:tcPr>
            <w:tcW w:w="4675" w:type="dxa"/>
            <w:vAlign w:val="top"/>
          </w:tcPr>
          <w:p>
            <w:pPr>
              <w:spacing w:before="40" w:after="40"/>
              <w:rPr>
                <w:sz w:val="18"/>
              </w:rPr>
            </w:pPr>
            <w:r>
              <w:rPr>
                <w:sz w:val="18"/>
                <w:szCs w:val="18"/>
              </w:rPr>
              <w:t xml:space="preserve">Toneladas al año</w:t>
            </w:r>
          </w:p>
        </w:tc>
        <w:tc>
          <w:tcPr>
            <w:tcW w:w="4675" w:type="dxa"/>
            <w:vAlign w:val="top"/>
          </w:tcPr>
          <w:p>
            <w:pPr>
              <w:spacing w:before="40" w:after="40"/>
              <w:rPr>
                <w:sz w:val="18"/>
              </w:rPr>
            </w:pPr>
            <w:r>
              <w:rPr>
                <w:sz w:val="18"/>
                <w:szCs w:val="18"/>
              </w:rPr>
              <w:t xml:space="preserve">2.400.000</w:t>
            </w:r>
          </w:p>
        </w:tc>
      </w:tr>
      <w:tr>
        <w:trPr>
          <w:cantSplit/>
        </w:trPr>
        <w:tc>
          <w:tcPr>
            <w:tcW w:w="4675" w:type="dxa"/>
            <w:vAlign w:val="top"/>
          </w:tcPr>
          <w:p>
            <w:pPr>
              <w:spacing w:before="40" w:after="40"/>
              <w:rPr>
                <w:sz w:val="18"/>
              </w:rPr>
            </w:pPr>
            <w:r>
              <w:rPr>
                <w:sz w:val="18"/>
                <w:szCs w:val="18"/>
              </w:rPr>
              <w:t xml:space="preserve">Flota</w:t>
            </w:r>
          </w:p>
        </w:tc>
        <w:tc>
          <w:tcPr>
            <w:tcW w:w="4675" w:type="dxa"/>
            <w:vAlign w:val="top"/>
          </w:tcPr>
          <w:p>
            <w:pPr>
              <w:spacing w:before="40" w:after="40"/>
              <w:rPr>
                <w:sz w:val="18"/>
              </w:rPr>
            </w:pPr>
            <w:r>
              <w:rPr>
                <w:sz w:val="18"/>
                <w:szCs w:val="18"/>
              </w:rPr>
              <w:t xml:space="preserve">374 tractocamiones · 210 semirremolques</w:t>
            </w:r>
          </w:p>
        </w:tc>
      </w:tr>
      <w:tr>
        <w:trPr>
          <w:cantSplit/>
        </w:trPr>
        <w:tc>
          <w:tcPr>
            <w:tcW w:w="4675" w:type="dxa"/>
            <w:vAlign w:val="top"/>
          </w:tcPr>
          <w:p>
            <w:pPr>
              <w:spacing w:before="40" w:after="40"/>
              <w:rPr>
                <w:sz w:val="18"/>
              </w:rPr>
            </w:pPr>
            <w:r>
              <w:rPr>
                <w:sz w:val="18"/>
                <w:szCs w:val="18"/>
              </w:rPr>
              <w:t xml:space="preserve">Corredor</w:t>
            </w:r>
          </w:p>
        </w:tc>
        <w:tc>
          <w:tcPr>
            <w:tcW w:w="4675" w:type="dxa"/>
            <w:vAlign w:val="top"/>
          </w:tcPr>
          <w:p>
            <w:pPr>
              <w:spacing w:before="40" w:after="40"/>
              <w:rPr>
                <w:sz w:val="18"/>
              </w:rPr>
            </w:pPr>
            <w:r>
              <w:rPr>
                <w:sz w:val="18"/>
                <w:szCs w:val="18"/>
              </w:rPr>
              <w:t xml:space="preserve">3.000 km entre Antofagasta y Puerto Montt · ≈1.900 cruces por Los Libertadores</w:t>
            </w:r>
          </w:p>
        </w:tc>
      </w:tr>
      <w:tr>
        <w:trPr>
          <w:cantSplit/>
        </w:trPr>
        <w:tc>
          <w:tcPr>
            <w:tcW w:w="4675" w:type="dxa"/>
            <w:vAlign w:val="top"/>
          </w:tcPr>
          <w:p>
            <w:pPr>
              <w:spacing w:before="40" w:after="40"/>
              <w:rPr>
                <w:sz w:val="18"/>
              </w:rPr>
            </w:pPr>
            <w:r>
              <w:rPr>
                <w:sz w:val="18"/>
                <w:szCs w:val="18"/>
              </w:rPr>
              <w:t xml:space="preserve">Documentos de transporte al año</w:t>
            </w:r>
          </w:p>
        </w:tc>
        <w:tc>
          <w:tcPr>
            <w:tcW w:w="4675" w:type="dxa"/>
            <w:vAlign w:val="top"/>
          </w:tcPr>
          <w:p>
            <w:pPr>
              <w:spacing w:before="40" w:after="40"/>
              <w:rPr>
                <w:sz w:val="18"/>
              </w:rPr>
            </w:pPr>
            <w:r>
              <w:rPr>
                <w:sz w:val="18"/>
                <w:szCs w:val="18"/>
              </w:rPr>
              <w:t xml:space="preserve">≈128.000</w:t>
            </w:r>
          </w:p>
        </w:tc>
      </w:tr>
      <w:tr>
        <w:trPr>
          <w:cantSplit/>
        </w:trPr>
        <w:tc>
          <w:tcPr>
            <w:tcW w:w="4675" w:type="dxa"/>
            <w:vAlign w:val="top"/>
          </w:tcPr>
          <w:p>
            <w:pPr>
              <w:spacing w:before="40" w:after="40"/>
              <w:rPr>
                <w:sz w:val="18"/>
              </w:rPr>
            </w:pPr>
            <w:r>
              <w:rPr>
                <w:sz w:val="18"/>
                <w:szCs w:val="18"/>
              </w:rPr>
              <w:t xml:space="preserve">Clientes</w:t>
            </w:r>
          </w:p>
        </w:tc>
        <w:tc>
          <w:tcPr>
            <w:tcW w:w="4675" w:type="dxa"/>
            <w:vAlign w:val="top"/>
          </w:tcPr>
          <w:p>
            <w:pPr>
              <w:spacing w:before="40" w:after="40"/>
              <w:rPr>
                <w:sz w:val="18"/>
              </w:rPr>
            </w:pPr>
            <w:r>
              <w:rPr>
                <w:sz w:val="18"/>
                <w:szCs w:val="18"/>
              </w:rPr>
              <w:t xml:space="preserve">84 activos; </w:t>
            </w:r>
            <w:r>
              <w:rPr>
                <w:b/>
                <w:sz w:val="18"/>
                <w:szCs w:val="18"/>
              </w:rPr>
              <w:t xml:space="preserve">8 concentran el 71 % de la facturación</w:t>
            </w:r>
          </w:p>
        </w:tc>
      </w:tr>
    </w:tbl>
    <w:p>
      <w:pPr>
        <w:spacing w:before="0" w:after="100"/>
      </w:pPr>
    </w:p>
    <w:p>
      <w:pPr>
        <w:pStyle w:val="Heading2"/>
        <w:keepNext/>
        <w:spacing w:before="260" w:after="100"/>
      </w:pPr>
      <w:r>
        <w:t xml:space="preserve">La fragilidad financiera</w:t>
      </w:r>
    </w:p>
    <w:p>
      <w:pPr>
        <w:spacing w:before="0" w:after="140" w:line="264" w:lineRule="auto"/>
      </w:pPr>
      <w:r>
        <w:t xml:space="preserve">Facturación anual de </w:t>
      </w:r>
      <w:r>
        <w:rPr>
          <w:b/>
        </w:rPr>
        <w:t xml:space="preserve">$78.000 millones</w:t>
      </w:r>
      <w:r>
        <w:t xml:space="preserve"> con margen operacional de </w:t>
      </w:r>
      <w:r>
        <w:rPr>
          <w:b/>
        </w:rPr>
        <w:t xml:space="preserve">9 %</w:t>
      </w:r>
      <w:r>
        <w:t xml:space="preserve">. Tres de los ocho contratos principales operan bajo costo y representan el </w:t>
      </w:r>
      <w:r>
        <w:rPr>
          <w:b/>
        </w:rPr>
        <w:t xml:space="preserve">31 % del ingreso</w:t>
      </w:r>
      <w:r>
        <w:t xml:space="preserve">; el peor lleva </w:t>
      </w:r>
      <w:r>
        <w:rPr>
          <w:b/>
        </w:rPr>
        <w:t xml:space="preserve">cuatro años a −14 %</w:t>
      </w:r>
      <w:r>
        <w:t xml:space="preserve">, subsidiado por rutas rentables bajo prorrateo ciego por ingreso.</w:t>
      </w:r>
    </w:p>
    <w:p>
      <w:pPr>
        <w:pStyle w:val="Heading2"/>
        <w:keepNext/>
        <w:spacing w:before="260" w:after="100"/>
      </w:pPr>
      <w:r>
        <w:t xml:space="preserve">Los tres disparadores de 2026</w:t>
      </w:r>
    </w:p>
    <w:p>
      <w:pPr>
        <w:ind w:left="340"/>
        <w:spacing w:before="20" w:after="60"/>
      </w:pPr>
      <w:r>
        <w:t xml:space="preserve">1.  </w:t>
      </w:r>
      <w:r>
        <w:rPr>
          <w:b/>
        </w:rPr>
        <w:t xml:space="preserve">14 de febrero, 04:40 h.</w:t>
      </w:r>
      <w:r>
        <w:t xml:space="preserve"> Accidente en el km 312 de la Ruta 5 Sur. El conductor</w:t>
      </w:r>
    </w:p>
    <w:p>
      <w:pPr>
        <w:spacing w:before="0" w:after="140" w:line="264" w:lineRule="auto"/>
      </w:pPr>
      <w:r>
        <w:t xml:space="preserve">subcontratado había manejado el día anterior para otra empresa. Los registros de Curimón estaban impecables: mostraban 11 horas sin conducir </w:t>
      </w:r>
      <w:r>
        <w:rPr>
          <w:b/>
        </w:rPr>
        <w:t xml:space="preserve">para ella</w:t>
      </w:r>
      <w:r>
        <w:t xml:space="preserve">. Suspensión de contratos por seis semanas.</w:t>
      </w:r>
    </w:p>
    <w:p>
      <w:pPr>
        <w:ind w:left="340"/>
        <w:spacing w:before="20" w:after="60"/>
      </w:pPr>
      <w:r>
        <w:t xml:space="preserve">2.  </w:t>
      </w:r>
      <w:r>
        <w:rPr>
          <w:b/>
        </w:rPr>
        <w:t xml:space="preserve">Abril.</w:t>
      </w:r>
      <w:r>
        <w:t xml:space="preserve"> Fiscalización inmoviliza 14 horas un tractocamión con sustancias peligrosas por un</w:t>
      </w:r>
    </w:p>
    <w:p>
      <w:pPr>
        <w:spacing w:before="0" w:after="140" w:line="264" w:lineRule="auto"/>
      </w:pPr>
      <w:r>
        <w:t xml:space="preserve">curso vencido tres semanas antes, que vivía en una planilla actualizada «cuando alguien se acuerda». Colapso del control documental bajo el D.S. N.º 298.</w:t>
      </w:r>
    </w:p>
    <w:p>
      <w:pPr>
        <w:ind w:left="340"/>
        <w:spacing w:before="20" w:after="60"/>
      </w:pPr>
      <w:r>
        <w:t xml:space="preserve">3.  </w:t>
      </w:r>
      <w:r>
        <w:rPr>
          <w:b/>
        </w:rPr>
        <w:t xml:space="preserve">Junio.</w:t>
      </w:r>
      <w:r>
        <w:t xml:space="preserve"> El primer costeo por ruta destapa los subsidios cruzados masivos.</w:t>
      </w:r>
    </w:p>
    <w:p>
      <w:pPr>
        <w:pStyle w:val="Heading2"/>
        <w:keepNext/>
        <w:spacing w:before="260" w:after="100"/>
      </w:pPr>
      <w:r>
        <w:t xml:space="preserve">El colapso de la gobernanza de datos</w:t>
      </w:r>
    </w:p>
    <w:p>
      <w:pPr>
        <w:ind w:left="340"/>
        <w:spacing w:before="20" w:after="60"/>
      </w:pPr>
      <w:r>
        <w:t xml:space="preserve">•  </w:t>
      </w:r>
      <w:r>
        <w:rPr>
          <w:b/>
        </w:rPr>
        <w:t xml:space="preserve">≈6.000 fechas de vencimiento vivas</w:t>
      </w:r>
      <w:r>
        <w:t xml:space="preserve"> en cuatro planillas aisladas sin integridad referencial.</w:t>
      </w:r>
    </w:p>
    <w:p>
      <w:pPr>
        <w:ind w:left="340"/>
        <w:spacing w:before="20" w:after="60"/>
      </w:pPr>
      <w:r>
        <w:t xml:space="preserve">•  </w:t>
      </w:r>
      <w:r>
        <w:rPr>
          <w:b/>
        </w:rPr>
        <w:t xml:space="preserve">Cero descargas históricas de tacógrafo digital.</w:t>
      </w:r>
    </w:p>
    <w:p>
      <w:pPr>
        <w:ind w:left="340"/>
        <w:spacing w:before="20" w:after="60"/>
      </w:pPr>
      <w:r>
        <w:t xml:space="preserve">•  </w:t>
      </w:r>
      <w:r>
        <w:rPr>
          <w:b/>
        </w:rPr>
        <w:t xml:space="preserve">61 tractocamiones</w:t>
      </w:r>
      <w:r>
        <w:t xml:space="preserve"> con telemetría CANbus de fábrica </w:t>
      </w:r>
      <w:r>
        <w:rPr>
          <w:b/>
        </w:rPr>
        <w:t xml:space="preserve">inactiva</w:t>
      </w:r>
      <w:r>
        <w:t xml:space="preserve">.</w:t>
      </w:r>
    </w:p>
    <w:p>
      <w:pPr>
        <w:ind w:left="340"/>
        <w:spacing w:before="20" w:after="60"/>
      </w:pPr>
      <w:r>
        <w:t xml:space="preserve">•  </w:t>
      </w:r>
      <w:r>
        <w:rPr>
          <w:b/>
        </w:rPr>
        <w:t xml:space="preserve">34 camiones sin ningún dispositivo GPS</w:t>
      </w:r>
      <w:r>
        <w:t xml:space="preserve">, monitoreados por teléfono; los </w:t>
      </w:r>
      <w:r>
        <w:rPr>
          <w:b/>
        </w:rPr>
        <w:t xml:space="preserve">340 restantes</w:t>
      </w:r>
      <w:r>
        <w:t xml:space="preserve"> en</w:t>
      </w:r>
    </w:p>
    <w:p>
      <w:pPr>
        <w:spacing w:before="0" w:after="140" w:line="264" w:lineRule="auto"/>
      </w:pPr>
      <w:r>
        <w:rPr>
          <w:b/>
        </w:rPr>
        <w:t xml:space="preserve">tres plataformas incompatibles</w:t>
      </w:r>
      <w:r>
        <w:t xml:space="preserve">, una de las cuales no permite exportar.</w:t>
      </w:r>
    </w:p>
    <w:p>
      <w:pPr>
        <w:ind w:left="340"/>
        <w:spacing w:before="20" w:after="60"/>
      </w:pPr>
      <w:r>
        <w:t xml:space="preserve">•  </w:t>
      </w:r>
      <w:r>
        <w:t xml:space="preserve">Espera media de 3 h 10 min en punto de carga, con </w:t>
      </w:r>
      <w:r>
        <w:rPr>
          <w:b/>
        </w:rPr>
        <w:t xml:space="preserve">71 % de los cobros objetados</w:t>
      </w:r>
      <w:r>
        <w:t xml:space="preserve">.</w:t>
      </w:r>
    </w:p>
    <w:p>
      <w:pPr>
        <w:pStyle w:val="Heading2"/>
        <w:keepNext/>
        <w:spacing w:before="260" w:after="100"/>
      </w:pPr>
      <w:r>
        <w:t xml:space="preserve">La amenaza de 2029</w:t>
      </w:r>
    </w:p>
    <w:p>
      <w:pPr>
        <w:spacing w:before="0" w:after="140" w:line="264" w:lineRule="auto"/>
      </w:pPr>
      <w:r>
        <w:t xml:space="preserve">El cliente exportador mayor —</w:t>
      </w:r>
      <w:r>
        <w:rPr>
          <w:b/>
        </w:rPr>
        <w:t xml:space="preserve">19 % de los ingresos</w:t>
      </w:r>
      <w:r>
        <w:t xml:space="preserve">— condicionó la renovación a cuatro exigencias: documento electrónico de transporte integrado punta a punta; posición de la carga en tiempo real; emisiones por tonelada-kilómetro verificadas por un tercero; y </w:t>
      </w:r>
      <w:r>
        <w:rPr>
          <w:b/>
        </w:rPr>
        <w:t xml:space="preserve">acreditación del cumplimiento de jornada en cada viaje, incluidos los camiones subcontratados</w:t>
      </w:r>
      <w:r>
        <w:t xml:space="preserve">. La cuarta es el problema central del caso y no tiene solución evidente.</w:t>
      </w:r>
    </w:p>
    <w:p>
      <w:pPr>
        <w:pStyle w:val="Heading2"/>
        <w:keepNext/>
        <w:spacing w:before="260" w:after="100"/>
      </w:pPr>
      <w:r>
        <w:t xml:space="preserve">La advertencia que gobierna el diseño</w:t>
      </w:r>
    </w:p>
    <w:p>
      <w:pPr>
        <w:shd w:val="clear" w:fill="F4F7FB"/>
        <w:pBdr>
          <w:left w:val="single" w:sz="18" w:space="8" w:color="9CC3F5"/>
        </w:pBdr>
        <w:ind w:left="200"/>
        <w:spacing w:before="100" w:after="140"/>
      </w:pPr>
      <w:r>
        <w:rPr>
          <w:sz w:val="21"/>
          <w:szCs w:val="21"/>
        </w:rPr>
        <w:t xml:space="preserve">«El sesenta por ciento de nuestra capacidad no nos pertenece y esas personas no son nuestros trabajadores. Cualquier solución que suponga que podemos darles una orden va a fracasar el primer día.» — Gerente general, acta de directorio.</w:t>
      </w:r>
    </w:p>
    <w:p>
      <w:pPr>
        <w:pBdr>
          <w:bottom w:val="single" w:sz="6" w:space="1" w:color="C8D2DE"/>
        </w:pBdr>
        <w:spacing w:before="160" w:after="160"/>
      </w:pPr>
    </w:p>
    <w:p>
      <w:pPr>
        <w:pStyle w:val="Heading1"/>
        <w:keepNext/>
        <w:spacing w:before="320" w:after="120"/>
      </w:pPr>
      <w:r>
        <w:t xml:space="preserve">3 · Debe presentar el Esquema de Solución</w:t>
      </w:r>
    </w:p>
    <w:p>
      <w:pPr>
        <w:spacing w:before="0" w:after="140" w:line="264" w:lineRule="auto"/>
      </w:pPr>
      <w:r>
        <w:rPr>
          <w:b/>
        </w:rPr>
        <w:t xml:space="preserve">Fuente completa:</w:t>
      </w:r>
      <w:r>
        <w:t xml:space="preserve"> </w:t>
      </w:r>
      <w:r>
        <w:rPr>
          <w:rFonts w:ascii="Consolas" w:hAnsi="Consolas"/>
          <w:color w:val="5B21B6"/>
          <w:sz w:val="20"/>
          <w:szCs w:val="20"/>
          <w:shd w:val="clear" w:fill="F1F4F8"/>
        </w:rPr>
        <w:t xml:space="preserve">equipo/D2/formulario-t12-preliminar-d2.md</w:t>
      </w:r>
      <w:r>
        <w:t xml:space="preserve"> y </w:t>
      </w:r>
      <w:r>
        <w:rPr>
          <w:rFonts w:ascii="Consolas" w:hAnsi="Consolas"/>
          <w:color w:val="5B21B6"/>
          <w:sz w:val="20"/>
          <w:szCs w:val="20"/>
          <w:shd w:val="clear" w:fill="F1F4F8"/>
        </w:rPr>
        <w:t xml:space="preserve">catalogo-requisitos-d2.md</w:t>
      </w:r>
      <w:r>
        <w:t xml:space="preserve"> </w:t>
      </w:r>
      <w:r>
        <w:rPr>
          <w:b/>
        </w:rPr>
        <w:t xml:space="preserve">T-12</w:t>
      </w:r>
      <w:r>
        <w:t xml:space="preserve"> · Peso 21 % (junto con el alcance)</w:t>
      </w:r>
    </w:p>
    <w:p>
      <w:pPr>
        <w:pStyle w:val="Heading2"/>
        <w:keepNext/>
        <w:spacing w:before="260" w:after="100"/>
      </w:pPr>
      <w:r>
        <w:t xml:space="preserve">Catálogo de requisitos</w:t>
      </w:r>
    </w:p>
    <w:p>
      <w:pPr>
        <w:spacing w:before="0" w:after="140" w:line="264" w:lineRule="auto"/>
      </w:pPr>
      <w:r>
        <w:rPr>
          <w:b/>
        </w:rPr>
        <w:t xml:space="preserve">42 requisitos trazables al origen:</w:t>
      </w:r>
      <w:r>
        <w:t xml:space="preserve"> </w:t>
      </w:r>
      <w:r>
        <w:rPr>
          <w:rFonts w:ascii="Consolas" w:hAnsi="Consolas"/>
          <w:color w:val="5B21B6"/>
          <w:sz w:val="20"/>
          <w:szCs w:val="20"/>
          <w:shd w:val="clear" w:fill="F1F4F8"/>
        </w:rPr>
        <w:t xml:space="preserve">RF-001</w:t>
      </w:r>
      <w:r>
        <w:t xml:space="preserve"> a </w:t>
      </w:r>
      <w:r>
        <w:rPr>
          <w:rFonts w:ascii="Consolas" w:hAnsi="Consolas"/>
          <w:color w:val="5B21B6"/>
          <w:sz w:val="20"/>
          <w:szCs w:val="20"/>
          <w:shd w:val="clear" w:fill="F1F4F8"/>
        </w:rPr>
        <w:t xml:space="preserve">RF-028</w:t>
      </w:r>
      <w:r>
        <w:t xml:space="preserve"> funcionales y </w:t>
      </w:r>
      <w:r>
        <w:rPr>
          <w:rFonts w:ascii="Consolas" w:hAnsi="Consolas"/>
          <w:color w:val="5B21B6"/>
          <w:sz w:val="20"/>
          <w:szCs w:val="20"/>
          <w:shd w:val="clear" w:fill="F1F4F8"/>
        </w:rPr>
        <w:t xml:space="preserve">RNF-001</w:t>
      </w:r>
      <w:r>
        <w:t xml:space="preserve"> a </w:t>
      </w:r>
      <w:r>
        <w:rPr>
          <w:rFonts w:ascii="Consolas" w:hAnsi="Consolas"/>
          <w:color w:val="5B21B6"/>
          <w:sz w:val="20"/>
          <w:szCs w:val="20"/>
          <w:shd w:val="clear" w:fill="F1F4F8"/>
        </w:rPr>
        <w:t xml:space="preserve">RNF-014</w:t>
      </w:r>
      <w:r>
        <w:t xml:space="preserve"> no funcionales. Cada uno con descripción, componente que lo satisface y sección de la propuesta.</w:t>
      </w:r>
    </w:p>
    <w:p>
      <w:pPr>
        <w:shd w:val="clear" w:fill="F4F7FB"/>
        <w:pBdr>
          <w:left w:val="single" w:sz="18" w:space="8" w:color="9CC3F5"/>
        </w:pBdr>
        <w:ind w:left="200"/>
        <w:spacing w:before="100" w:after="140"/>
      </w:pPr>
      <w:r>
        <w:rPr>
          <w:b/>
          <w:sz w:val="21"/>
          <w:szCs w:val="21"/>
        </w:rPr>
        <w:t xml:space="preserve">Advertencia de forma que vale puntaje.</w:t>
      </w:r>
      <w:r>
        <w:rPr>
          <w:sz w:val="21"/>
          <w:szCs w:val="21"/>
        </w:rPr>
        <w:t xml:space="preserve"> El numeral 1.5 de las bases establece que declarar «cumple» sin individualizar el componente </w:t>
      </w:r>
      <w:r>
        <w:rPr>
          <w:b/>
          <w:sz w:val="21"/>
          <w:szCs w:val="21"/>
        </w:rPr>
        <w:t xml:space="preserve">equivale a no declarar</w:t>
      </w:r>
      <w:r>
        <w:rPr>
          <w:sz w:val="21"/>
          <w:szCs w:val="21"/>
        </w:rPr>
        <w:t xml:space="preserve">. Por eso la matriz usa hoy el estado interno </w:t>
      </w:r>
      <w:r>
        <w:rPr>
          <w:i/>
          <w:sz w:val="21"/>
          <w:szCs w:val="21"/>
        </w:rPr>
        <w:t xml:space="preserve">pendiente de verificación</w:t>
      </w:r>
      <w:r>
        <w:rPr>
          <w:sz w:val="21"/>
          <w:szCs w:val="21"/>
        </w:rPr>
        <w:t xml:space="preserve"> en las 42 filas: ni el compromiso de atender una exigencia ni un componente propuesto justifican declarar cumplimiento antes de validarlo.</w:t>
      </w:r>
    </w:p>
    <w:p>
      <w:pPr>
        <w:pStyle w:val="Heading2"/>
        <w:keepNext/>
        <w:spacing w:before="260" w:after="100"/>
      </w:pPr>
      <w:r>
        <w:t xml:space="preserve">Los requisitos que definen la solución</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3116"/>
        <w:gridCol w:w="3116"/>
        <w:gridCol w:w="3116"/>
      </w:tblGrid>
      <w:tr>
        <w:trPr>
          <w:tblHeader/>
          <w:cantSplit/>
        </w:trPr>
        <w:tc>
          <w:tcPr>
            <w:tcW w:w="3116" w:type="dxa"/>
            <w:shd w:val="clear" w:fill="EDF2F8"/>
            <w:vAlign w:val="top"/>
          </w:tcPr>
          <w:p>
            <w:pPr>
              <w:spacing w:before="40" w:after="40"/>
              <w:rPr>
                <w:sz w:val="18"/>
              </w:rPr>
            </w:pPr>
            <w:r>
              <w:rPr>
                <w:b/>
                <w:sz w:val="18"/>
                <w:szCs w:val="18"/>
              </w:rPr>
              <w:t xml:space="preserve">ID</w:t>
            </w:r>
          </w:p>
        </w:tc>
        <w:tc>
          <w:tcPr>
            <w:tcW w:w="3116" w:type="dxa"/>
            <w:shd w:val="clear" w:fill="EDF2F8"/>
            <w:vAlign w:val="top"/>
          </w:tcPr>
          <w:p>
            <w:pPr>
              <w:spacing w:before="40" w:after="40"/>
              <w:rPr>
                <w:sz w:val="18"/>
              </w:rPr>
            </w:pPr>
            <w:r>
              <w:rPr>
                <w:b/>
                <w:sz w:val="18"/>
                <w:szCs w:val="18"/>
              </w:rPr>
              <w:t xml:space="preserve">Qué exige</w:t>
            </w:r>
          </w:p>
        </w:tc>
        <w:tc>
          <w:tcPr>
            <w:tcW w:w="3116" w:type="dxa"/>
            <w:shd w:val="clear" w:fill="EDF2F8"/>
            <w:vAlign w:val="top"/>
          </w:tcPr>
          <w:p>
            <w:pPr>
              <w:spacing w:before="40" w:after="40"/>
              <w:rPr>
                <w:sz w:val="18"/>
              </w:rPr>
            </w:pPr>
            <w:r>
              <w:rPr>
                <w:b/>
                <w:sz w:val="18"/>
                <w:szCs w:val="18"/>
              </w:rPr>
              <w:t xml:space="preserve">Por qué es el núcleo</w:t>
            </w:r>
          </w:p>
        </w:tc>
      </w:tr>
      <w:tr>
        <w:trPr>
          <w:cantSplit/>
        </w:trPr>
        <w:tc>
          <w:tcPr>
            <w:tcW w:w="3116" w:type="dxa"/>
            <w:vAlign w:val="top"/>
          </w:tcPr>
          <w:p>
            <w:pPr>
              <w:spacing w:before="40" w:after="40"/>
              <w:rPr>
                <w:sz w:val="18"/>
              </w:rPr>
            </w:pPr>
            <w:r>
              <w:rPr>
                <w:sz w:val="18"/>
                <w:szCs w:val="18"/>
              </w:rPr>
              <w:t xml:space="preserve">RF-001</w:t>
            </w:r>
          </w:p>
        </w:tc>
        <w:tc>
          <w:tcPr>
            <w:tcW w:w="3116" w:type="dxa"/>
            <w:vAlign w:val="top"/>
          </w:tcPr>
          <w:p>
            <w:pPr>
              <w:spacing w:before="40" w:after="40"/>
              <w:rPr>
                <w:sz w:val="18"/>
              </w:rPr>
            </w:pPr>
            <w:r>
              <w:rPr>
                <w:sz w:val="18"/>
                <w:szCs w:val="18"/>
              </w:rPr>
              <w:t xml:space="preserve">Validación bloqueante de jornada, habilitaciones y aptitud antes de asignar</w:t>
            </w:r>
          </w:p>
        </w:tc>
        <w:tc>
          <w:tcPr>
            <w:tcW w:w="3116" w:type="dxa"/>
            <w:vAlign w:val="top"/>
          </w:tcPr>
          <w:p>
            <w:pPr>
              <w:spacing w:before="40" w:after="40"/>
              <w:rPr>
                <w:sz w:val="18"/>
              </w:rPr>
            </w:pPr>
            <w:r>
              <w:rPr>
                <w:sz w:val="18"/>
                <w:szCs w:val="18"/>
              </w:rPr>
              <w:t xml:space="preserve">Criterio 1 del caso: ningún camión sale sin poder salir</w:t>
            </w:r>
          </w:p>
        </w:tc>
      </w:tr>
      <w:tr>
        <w:trPr>
          <w:cantSplit/>
        </w:trPr>
        <w:tc>
          <w:tcPr>
            <w:tcW w:w="3116" w:type="dxa"/>
            <w:vAlign w:val="top"/>
          </w:tcPr>
          <w:p>
            <w:pPr>
              <w:spacing w:before="40" w:after="40"/>
              <w:rPr>
                <w:sz w:val="18"/>
              </w:rPr>
            </w:pPr>
            <w:r>
              <w:rPr>
                <w:sz w:val="18"/>
                <w:szCs w:val="18"/>
              </w:rPr>
              <w:t xml:space="preserve">RF-003</w:t>
            </w:r>
          </w:p>
        </w:tc>
        <w:tc>
          <w:tcPr>
            <w:tcW w:w="3116" w:type="dxa"/>
            <w:vAlign w:val="top"/>
          </w:tcPr>
          <w:p>
            <w:pPr>
              <w:spacing w:before="40" w:after="40"/>
              <w:rPr>
                <w:sz w:val="18"/>
              </w:rPr>
            </w:pPr>
            <w:r>
              <w:rPr>
                <w:sz w:val="18"/>
                <w:szCs w:val="18"/>
              </w:rPr>
              <w:t xml:space="preserve">Jornada previa del conductor </w:t>
            </w:r>
            <w:r>
              <w:rPr>
                <w:b/>
                <w:sz w:val="18"/>
                <w:szCs w:val="18"/>
              </w:rPr>
              <w:t xml:space="preserve">externo</w:t>
            </w:r>
            <w:r>
              <w:rPr>
                <w:sz w:val="18"/>
                <w:szCs w:val="18"/>
              </w:rPr>
              <w:t xml:space="preserve"> disponible al asignar</w:t>
            </w:r>
          </w:p>
        </w:tc>
        <w:tc>
          <w:tcPr>
            <w:tcW w:w="3116" w:type="dxa"/>
            <w:vAlign w:val="top"/>
          </w:tcPr>
          <w:p>
            <w:pPr>
              <w:spacing w:before="40" w:after="40"/>
              <w:rPr>
                <w:sz w:val="18"/>
              </w:rPr>
            </w:pPr>
            <w:r>
              <w:rPr>
                <w:sz w:val="18"/>
                <w:szCs w:val="18"/>
              </w:rPr>
              <w:t xml:space="preserve">La decisión 1 del numeral 16.1, la más importante del caso</w:t>
            </w:r>
          </w:p>
        </w:tc>
      </w:tr>
      <w:tr>
        <w:trPr>
          <w:cantSplit/>
        </w:trPr>
        <w:tc>
          <w:tcPr>
            <w:tcW w:w="3116" w:type="dxa"/>
            <w:vAlign w:val="top"/>
          </w:tcPr>
          <w:p>
            <w:pPr>
              <w:spacing w:before="40" w:after="40"/>
              <w:rPr>
                <w:sz w:val="18"/>
              </w:rPr>
            </w:pPr>
            <w:r>
              <w:rPr>
                <w:sz w:val="18"/>
                <w:szCs w:val="18"/>
              </w:rPr>
              <w:t xml:space="preserve">RF-008</w:t>
            </w:r>
          </w:p>
        </w:tc>
        <w:tc>
          <w:tcPr>
            <w:tcW w:w="3116" w:type="dxa"/>
            <w:vAlign w:val="top"/>
          </w:tcPr>
          <w:p>
            <w:pPr>
              <w:spacing w:before="40" w:after="40"/>
              <w:rPr>
                <w:sz w:val="18"/>
              </w:rPr>
            </w:pPr>
            <w:r>
              <w:rPr>
                <w:sz w:val="18"/>
                <w:szCs w:val="18"/>
              </w:rPr>
              <w:t xml:space="preserve">Vista única de posición de los 374 camiones</w:t>
            </w:r>
          </w:p>
        </w:tc>
        <w:tc>
          <w:tcPr>
            <w:tcW w:w="3116" w:type="dxa"/>
            <w:vAlign w:val="top"/>
          </w:tcPr>
          <w:p>
            <w:pPr>
              <w:spacing w:before="40" w:after="40"/>
              <w:rPr>
                <w:sz w:val="18"/>
              </w:rPr>
            </w:pPr>
            <w:r>
              <w:rPr>
                <w:sz w:val="18"/>
                <w:szCs w:val="18"/>
              </w:rPr>
              <w:t xml:space="preserve">Unifica tres plataformas incompatibles</w:t>
            </w:r>
          </w:p>
        </w:tc>
      </w:tr>
      <w:tr>
        <w:trPr>
          <w:cantSplit/>
        </w:trPr>
        <w:tc>
          <w:tcPr>
            <w:tcW w:w="3116" w:type="dxa"/>
            <w:vAlign w:val="top"/>
          </w:tcPr>
          <w:p>
            <w:pPr>
              <w:spacing w:before="40" w:after="40"/>
              <w:rPr>
                <w:sz w:val="18"/>
              </w:rPr>
            </w:pPr>
            <w:r>
              <w:rPr>
                <w:sz w:val="18"/>
                <w:szCs w:val="18"/>
              </w:rPr>
              <w:t xml:space="preserve">RF-009</w:t>
            </w:r>
          </w:p>
        </w:tc>
        <w:tc>
          <w:tcPr>
            <w:tcW w:w="3116" w:type="dxa"/>
            <w:vAlign w:val="top"/>
          </w:tcPr>
          <w:p>
            <w:pPr>
              <w:spacing w:before="40" w:after="40"/>
              <w:rPr>
                <w:sz w:val="18"/>
              </w:rPr>
            </w:pPr>
            <w:r>
              <w:rPr>
                <w:sz w:val="18"/>
                <w:szCs w:val="18"/>
              </w:rPr>
              <w:t xml:space="preserve">Registro local de 72 h y sincronización posterior</w:t>
            </w:r>
          </w:p>
        </w:tc>
        <w:tc>
          <w:tcPr>
            <w:tcW w:w="3116" w:type="dxa"/>
            <w:vAlign w:val="top"/>
          </w:tcPr>
          <w:p>
            <w:pPr>
              <w:spacing w:before="40" w:after="40"/>
              <w:rPr>
                <w:sz w:val="18"/>
              </w:rPr>
            </w:pPr>
            <w:r>
              <w:rPr>
                <w:sz w:val="18"/>
                <w:szCs w:val="18"/>
              </w:rPr>
              <w:t xml:space="preserve">La operación no puede depender de la cobertura móvil</w:t>
            </w:r>
          </w:p>
        </w:tc>
      </w:tr>
      <w:tr>
        <w:trPr>
          <w:cantSplit/>
        </w:trPr>
        <w:tc>
          <w:tcPr>
            <w:tcW w:w="3116" w:type="dxa"/>
            <w:vAlign w:val="top"/>
          </w:tcPr>
          <w:p>
            <w:pPr>
              <w:spacing w:before="40" w:after="40"/>
              <w:rPr>
                <w:sz w:val="18"/>
              </w:rPr>
            </w:pPr>
            <w:r>
              <w:rPr>
                <w:sz w:val="18"/>
                <w:szCs w:val="18"/>
              </w:rPr>
              <w:t xml:space="preserve">RF-014</w:t>
            </w:r>
          </w:p>
        </w:tc>
        <w:tc>
          <w:tcPr>
            <w:tcW w:w="3116" w:type="dxa"/>
            <w:vAlign w:val="top"/>
          </w:tcPr>
          <w:p>
            <w:pPr>
              <w:spacing w:before="40" w:after="40"/>
              <w:rPr>
                <w:sz w:val="18"/>
              </w:rPr>
            </w:pPr>
            <w:r>
              <w:rPr>
                <w:sz w:val="18"/>
                <w:szCs w:val="18"/>
              </w:rPr>
              <w:t xml:space="preserve">DET conforme </w:t>
            </w:r>
            <w:r>
              <w:rPr>
                <w:b/>
                <w:sz w:val="18"/>
                <w:szCs w:val="18"/>
              </w:rPr>
              <w:t xml:space="preserve">antes</w:t>
            </w:r>
            <w:r>
              <w:rPr>
                <w:sz w:val="18"/>
                <w:szCs w:val="18"/>
              </w:rPr>
              <w:t xml:space="preserve"> del movimiento, incluso sin cobertura</w:t>
            </w:r>
          </w:p>
        </w:tc>
        <w:tc>
          <w:tcPr>
            <w:tcW w:w="3116" w:type="dxa"/>
            <w:vAlign w:val="top"/>
          </w:tcPr>
          <w:p>
            <w:pPr>
              <w:spacing w:before="40" w:after="40"/>
              <w:rPr>
                <w:sz w:val="18"/>
              </w:rPr>
            </w:pPr>
            <w:r>
              <w:rPr>
                <w:sz w:val="18"/>
                <w:szCs w:val="18"/>
              </w:rPr>
              <w:t xml:space="preserve">«La emisión diferida no basta»</w:t>
            </w:r>
          </w:p>
        </w:tc>
      </w:tr>
      <w:tr>
        <w:trPr>
          <w:cantSplit/>
        </w:trPr>
        <w:tc>
          <w:tcPr>
            <w:tcW w:w="3116" w:type="dxa"/>
            <w:vAlign w:val="top"/>
          </w:tcPr>
          <w:p>
            <w:pPr>
              <w:spacing w:before="40" w:after="40"/>
              <w:rPr>
                <w:sz w:val="18"/>
              </w:rPr>
            </w:pPr>
            <w:r>
              <w:rPr>
                <w:sz w:val="18"/>
                <w:szCs w:val="18"/>
              </w:rPr>
              <w:t xml:space="preserve">RF-022</w:t>
            </w:r>
          </w:p>
        </w:tc>
        <w:tc>
          <w:tcPr>
            <w:tcW w:w="3116" w:type="dxa"/>
            <w:vAlign w:val="top"/>
          </w:tcPr>
          <w:p>
            <w:pPr>
              <w:spacing w:before="40" w:after="40"/>
              <w:rPr>
                <w:sz w:val="18"/>
              </w:rPr>
            </w:pPr>
            <w:r>
              <w:rPr>
                <w:sz w:val="18"/>
                <w:szCs w:val="18"/>
              </w:rPr>
              <w:t xml:space="preserve">Consentimiento granular, revocable y auditable</w:t>
            </w:r>
          </w:p>
        </w:tc>
        <w:tc>
          <w:tcPr>
            <w:tcW w:w="3116" w:type="dxa"/>
            <w:vAlign w:val="top"/>
          </w:tcPr>
          <w:p>
            <w:pPr>
              <w:spacing w:before="40" w:after="40"/>
              <w:rPr>
                <w:sz w:val="18"/>
              </w:rPr>
            </w:pPr>
            <w:r>
              <w:rPr>
                <w:sz w:val="18"/>
                <w:szCs w:val="18"/>
              </w:rPr>
              <w:t xml:space="preserve">Criterio 29: quien entrega el dato conserva el control</w:t>
            </w:r>
          </w:p>
        </w:tc>
      </w:tr>
      <w:tr>
        <w:trPr>
          <w:cantSplit/>
        </w:trPr>
        <w:tc>
          <w:tcPr>
            <w:tcW w:w="3116" w:type="dxa"/>
            <w:vAlign w:val="top"/>
          </w:tcPr>
          <w:p>
            <w:pPr>
              <w:spacing w:before="40" w:after="40"/>
              <w:rPr>
                <w:sz w:val="18"/>
              </w:rPr>
            </w:pPr>
            <w:r>
              <w:rPr>
                <w:sz w:val="18"/>
                <w:szCs w:val="18"/>
              </w:rPr>
              <w:t xml:space="preserve">RF-026</w:t>
            </w:r>
          </w:p>
        </w:tc>
        <w:tc>
          <w:tcPr>
            <w:tcW w:w="3116" w:type="dxa"/>
            <w:vAlign w:val="top"/>
          </w:tcPr>
          <w:p>
            <w:pPr>
              <w:spacing w:before="40" w:after="40"/>
              <w:rPr>
                <w:sz w:val="18"/>
              </w:rPr>
            </w:pPr>
            <w:r>
              <w:rPr>
                <w:sz w:val="18"/>
                <w:szCs w:val="18"/>
              </w:rPr>
              <w:t xml:space="preserve">Adhesión de transportistas gestionada y </w:t>
            </w:r>
            <w:r>
              <w:rPr>
                <w:b/>
                <w:sz w:val="18"/>
                <w:szCs w:val="18"/>
              </w:rPr>
              <w:t xml:space="preserve">medible</w:t>
            </w:r>
          </w:p>
        </w:tc>
        <w:tc>
          <w:tcPr>
            <w:tcW w:w="3116" w:type="dxa"/>
            <w:vAlign w:val="top"/>
          </w:tcPr>
          <w:p>
            <w:pPr>
              <w:spacing w:before="40" w:after="40"/>
              <w:rPr>
                <w:sz w:val="18"/>
              </w:rPr>
            </w:pPr>
            <w:r>
              <w:rPr>
                <w:sz w:val="18"/>
                <w:szCs w:val="18"/>
              </w:rPr>
              <w:t xml:space="preserve">Criterio 27: sin plan de adhesión, la arquitectura es un dibujo</w:t>
            </w:r>
          </w:p>
        </w:tc>
      </w:tr>
      <w:tr>
        <w:trPr>
          <w:cantSplit/>
        </w:trPr>
        <w:tc>
          <w:tcPr>
            <w:tcW w:w="3116" w:type="dxa"/>
            <w:vAlign w:val="top"/>
          </w:tcPr>
          <w:p>
            <w:pPr>
              <w:spacing w:before="40" w:after="40"/>
              <w:rPr>
                <w:sz w:val="18"/>
              </w:rPr>
            </w:pPr>
            <w:r>
              <w:rPr>
                <w:sz w:val="18"/>
                <w:szCs w:val="18"/>
              </w:rPr>
              <w:t xml:space="preserve">RF-027</w:t>
            </w:r>
          </w:p>
        </w:tc>
        <w:tc>
          <w:tcPr>
            <w:tcW w:w="3116" w:type="dxa"/>
            <w:vAlign w:val="top"/>
          </w:tcPr>
          <w:p>
            <w:pPr>
              <w:spacing w:before="40" w:after="40"/>
              <w:rPr>
                <w:sz w:val="18"/>
              </w:rPr>
            </w:pPr>
            <w:r>
              <w:rPr>
                <w:sz w:val="18"/>
                <w:szCs w:val="18"/>
              </w:rPr>
              <w:t xml:space="preserve">Alerta de jornada según </w:t>
            </w:r>
            <w:r>
              <w:rPr>
                <w:b/>
                <w:sz w:val="18"/>
                <w:szCs w:val="18"/>
              </w:rPr>
              <w:t xml:space="preserve">lugar seguro alcanzable</w:t>
            </w:r>
          </w:p>
        </w:tc>
        <w:tc>
          <w:tcPr>
            <w:tcW w:w="3116" w:type="dxa"/>
            <w:vAlign w:val="top"/>
          </w:tcPr>
          <w:p>
            <w:pPr>
              <w:spacing w:before="40" w:after="40"/>
              <w:rPr>
                <w:sz w:val="18"/>
              </w:rPr>
            </w:pPr>
            <w:r>
              <w:rPr>
                <w:sz w:val="18"/>
                <w:szCs w:val="18"/>
              </w:rPr>
              <w:t xml:space="preserve">Criterio 28: la alerta que llega donde no se puede parar no sirve</w:t>
            </w:r>
          </w:p>
        </w:tc>
      </w:tr>
      <w:tr>
        <w:trPr>
          <w:cantSplit/>
        </w:trPr>
        <w:tc>
          <w:tcPr>
            <w:tcW w:w="3116" w:type="dxa"/>
            <w:vAlign w:val="top"/>
          </w:tcPr>
          <w:p>
            <w:pPr>
              <w:spacing w:before="40" w:after="40"/>
              <w:rPr>
                <w:sz w:val="18"/>
              </w:rPr>
            </w:pPr>
            <w:r>
              <w:rPr>
                <w:sz w:val="18"/>
                <w:szCs w:val="18"/>
              </w:rPr>
              <w:t xml:space="preserve">RNF-001</w:t>
            </w:r>
          </w:p>
        </w:tc>
        <w:tc>
          <w:tcPr>
            <w:tcW w:w="3116" w:type="dxa"/>
            <w:vAlign w:val="top"/>
          </w:tcPr>
          <w:p>
            <w:pPr>
              <w:spacing w:before="40" w:after="40"/>
              <w:rPr>
                <w:sz w:val="18"/>
              </w:rPr>
            </w:pPr>
            <w:r>
              <w:rPr>
                <w:sz w:val="18"/>
                <w:szCs w:val="18"/>
              </w:rPr>
              <w:t xml:space="preserve">Cero interacción del conductor durante la marcha</w:t>
            </w:r>
          </w:p>
        </w:tc>
        <w:tc>
          <w:tcPr>
            <w:tcW w:w="3116" w:type="dxa"/>
            <w:vAlign w:val="top"/>
          </w:tcPr>
          <w:p>
            <w:pPr>
              <w:spacing w:before="40" w:after="40"/>
              <w:rPr>
                <w:sz w:val="18"/>
              </w:rPr>
            </w:pPr>
            <w:r>
              <w:rPr>
                <w:sz w:val="18"/>
                <w:szCs w:val="18"/>
              </w:rPr>
              <w:t xml:space="preserve">Restricción 1, no negociable</w:t>
            </w:r>
          </w:p>
        </w:tc>
      </w:tr>
    </w:tbl>
    <w:p>
      <w:pPr>
        <w:spacing w:before="0" w:after="100"/>
      </w:pPr>
    </w:p>
    <w:p>
      <w:pPr>
        <w:pStyle w:val="Heading2"/>
        <w:keepNext/>
        <w:spacing w:before="260" w:after="100"/>
      </w:pPr>
      <w:r>
        <w:t xml:space="preserve">La decisión estructurante</w:t>
      </w:r>
    </w:p>
    <w:p>
      <w:pPr>
        <w:spacing w:before="0" w:after="140" w:line="264" w:lineRule="auto"/>
      </w:pPr>
      <w:r>
        <w:rPr>
          <w:b/>
        </w:rPr>
        <w:t xml:space="preserve">Decisión 1 · jornada del conductor externo</w:t>
      </w:r>
      <w:r>
        <w:t xml:space="preserve"> (</w:t>
      </w:r>
      <w:r>
        <w:rPr>
          <w:rFonts w:ascii="Consolas" w:hAnsi="Consolas"/>
          <w:color w:val="5B21B6"/>
          <w:sz w:val="20"/>
          <w:szCs w:val="20"/>
          <w:shd w:val="clear" w:fill="F1F4F8"/>
        </w:rPr>
        <w:t xml:space="preserve">equipo/D2/decision-01-jornada-externa.md</w:t>
      </w:r>
      <w:r>
        <w:t xml:space="preserve">). El encuadre acordado: Curimón no necesita saber dónde estuvo el conductor ni para quién manejó. Necesita </w:t>
      </w:r>
      <w:r>
        <w:rPr>
          <w:b/>
        </w:rPr>
        <w:t xml:space="preserve">un veredicto</w:t>
      </w:r>
      <w:r>
        <w:t xml:space="preserve"> —apto / no apto / apto hasta las HH:MM— y poder acreditar después que lo verificó. Es un dato derivado, no un historial.</w:t>
      </w:r>
    </w:p>
    <w:p>
      <w:pPr>
        <w:spacing w:before="0" w:after="140" w:line="264" w:lineRule="auto"/>
      </w:pPr>
      <w:r>
        <w:t xml:space="preserve">El sujeto obligado se traslada del conductor </w:t>
      </w:r>
      <w:r>
        <w:rPr>
          <w:b/>
        </w:rPr>
        <w:t xml:space="preserve">al dueño del camión</w:t>
      </w:r>
      <w:r>
        <w:t xml:space="preserve">, que es quien sí tiene contrato comercial con Curimón. Es lo único que la restricción 2 permite.</w:t>
      </w:r>
    </w:p>
    <w:p>
      <w:pPr>
        <w:pBdr>
          <w:bottom w:val="single" w:sz="6" w:space="1" w:color="C8D2DE"/>
        </w:pBdr>
        <w:spacing w:before="160" w:after="160"/>
      </w:pPr>
    </w:p>
    <w:p>
      <w:pPr>
        <w:pStyle w:val="Heading1"/>
        <w:keepNext/>
        <w:spacing w:before="320" w:after="120"/>
      </w:pPr>
      <w:r>
        <w:t xml:space="preserve">4 · Debe presentar el Alcance de la Solución</w:t>
      </w:r>
    </w:p>
    <w:p>
      <w:pPr>
        <w:spacing w:before="0" w:after="140" w:line="264" w:lineRule="auto"/>
      </w:pPr>
      <w:r>
        <w:rPr>
          <w:b/>
        </w:rPr>
        <w:t xml:space="preserve">Fuente completa:</w:t>
      </w:r>
      <w:r>
        <w:t xml:space="preserve"> </w:t>
      </w:r>
      <w:r>
        <w:rPr>
          <w:rFonts w:ascii="Consolas" w:hAnsi="Consolas"/>
          <w:color w:val="5B21B6"/>
          <w:sz w:val="20"/>
          <w:szCs w:val="20"/>
          <w:shd w:val="clear" w:fill="F1F4F8"/>
        </w:rPr>
        <w:t xml:space="preserve">equipo/D2/alcance-etapas-d2.md</w:t>
      </w:r>
    </w:p>
    <w:p>
      <w:pPr>
        <w:pStyle w:val="Heading2"/>
        <w:keepNext/>
        <w:spacing w:before="260" w:after="100"/>
      </w:pPr>
      <w:r>
        <w:t xml:space="preserve">Criterio de partición</w:t>
      </w:r>
    </w:p>
    <w:p>
      <w:pPr>
        <w:spacing w:before="0" w:after="140" w:line="264" w:lineRule="auto"/>
      </w:pPr>
      <w:r>
        <w:rPr>
          <w:b/>
        </w:rPr>
        <w:t xml:space="preserve">Etapa 1 controla los riesgos que pueden causar un despacho ilegal, pérdida probatoria, duplicación tributaria o tratamiento indebido de datos</w:t>
      </w:r>
      <w:r>
        <w:t xml:space="preserve">, y valida las dependencias técnicas y contractuales antes de un despliegue masivo. Etapa 2 escala, optimiza y consolida la adopción.</w:t>
      </w:r>
    </w:p>
    <w:p>
      <w:pPr>
        <w:pStyle w:val="Heading2"/>
        <w:keepNext/>
        <w:spacing w:before="260" w:after="100"/>
      </w:pPr>
      <w:r>
        <w:t xml:space="preserve">Etapa 1 — capacidades</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4675"/>
        <w:gridCol w:w="4675"/>
      </w:tblGrid>
      <w:tr>
        <w:trPr>
          <w:tblHeader/>
          <w:cantSplit/>
        </w:trPr>
        <w:tc>
          <w:tcPr>
            <w:tcW w:w="4675" w:type="dxa"/>
            <w:shd w:val="clear" w:fill="EDF2F8"/>
            <w:vAlign w:val="top"/>
          </w:tcPr>
          <w:p>
            <w:pPr>
              <w:spacing w:before="40" w:after="40"/>
              <w:rPr>
                <w:sz w:val="18"/>
              </w:rPr>
            </w:pPr>
            <w:r>
              <w:rPr>
                <w:b/>
                <w:sz w:val="18"/>
                <w:szCs w:val="18"/>
              </w:rPr>
              <w:t xml:space="preserve">Capacidad</w:t>
            </w:r>
          </w:p>
        </w:tc>
        <w:tc>
          <w:tcPr>
            <w:tcW w:w="4675" w:type="dxa"/>
            <w:shd w:val="clear" w:fill="EDF2F8"/>
            <w:vAlign w:val="top"/>
          </w:tcPr>
          <w:p>
            <w:pPr>
              <w:spacing w:before="40" w:after="40"/>
              <w:rPr>
                <w:sz w:val="18"/>
              </w:rPr>
            </w:pPr>
            <w:r>
              <w:rPr>
                <w:b/>
                <w:sz w:val="18"/>
                <w:szCs w:val="18"/>
              </w:rPr>
              <w:t xml:space="preserve">Resultado comprometido</w:t>
            </w:r>
          </w:p>
        </w:tc>
      </w:tr>
      <w:tr>
        <w:trPr>
          <w:cantSplit/>
        </w:trPr>
        <w:tc>
          <w:tcPr>
            <w:tcW w:w="4675" w:type="dxa"/>
            <w:vAlign w:val="top"/>
          </w:tcPr>
          <w:p>
            <w:pPr>
              <w:spacing w:before="40" w:after="40"/>
              <w:rPr>
                <w:sz w:val="18"/>
              </w:rPr>
            </w:pPr>
            <w:r>
              <w:rPr>
                <w:sz w:val="18"/>
                <w:szCs w:val="18"/>
              </w:rPr>
              <w:t xml:space="preserve">Despacho seguro</w:t>
            </w:r>
          </w:p>
        </w:tc>
        <w:tc>
          <w:tcPr>
            <w:tcW w:w="4675" w:type="dxa"/>
            <w:vAlign w:val="top"/>
          </w:tcPr>
          <w:p>
            <w:pPr>
              <w:spacing w:before="40" w:after="40"/>
              <w:rPr>
                <w:sz w:val="18"/>
              </w:rPr>
            </w:pPr>
            <w:r>
              <w:rPr>
                <w:sz w:val="18"/>
                <w:szCs w:val="18"/>
              </w:rPr>
              <w:t xml:space="preserve">Validación de jornada, vigencias, aptitud y </w:t>
            </w:r>
            <w:r>
              <w:rPr>
                <w:b/>
                <w:sz w:val="18"/>
                <w:szCs w:val="18"/>
              </w:rPr>
              <w:t xml:space="preserve">nivel de evidencia</w:t>
            </w:r>
            <w:r>
              <w:rPr>
                <w:sz w:val="18"/>
                <w:szCs w:val="18"/>
              </w:rPr>
              <w:t xml:space="preserve"> antes de asignar</w:t>
            </w:r>
          </w:p>
        </w:tc>
      </w:tr>
      <w:tr>
        <w:trPr>
          <w:cantSplit/>
        </w:trPr>
        <w:tc>
          <w:tcPr>
            <w:tcW w:w="4675" w:type="dxa"/>
            <w:vAlign w:val="top"/>
          </w:tcPr>
          <w:p>
            <w:pPr>
              <w:spacing w:before="40" w:after="40"/>
              <w:rPr>
                <w:sz w:val="18"/>
              </w:rPr>
            </w:pPr>
            <w:r>
              <w:rPr>
                <w:sz w:val="18"/>
                <w:szCs w:val="18"/>
              </w:rPr>
              <w:t xml:space="preserve">Evidencia y documentos</w:t>
            </w:r>
          </w:p>
        </w:tc>
        <w:tc>
          <w:tcPr>
            <w:tcW w:w="4675" w:type="dxa"/>
            <w:vAlign w:val="top"/>
          </w:tcPr>
          <w:p>
            <w:pPr>
              <w:spacing w:before="40" w:after="40"/>
              <w:rPr>
                <w:sz w:val="18"/>
              </w:rPr>
            </w:pPr>
            <w:r>
              <w:rPr>
                <w:sz w:val="18"/>
                <w:szCs w:val="18"/>
              </w:rPr>
              <w:t xml:space="preserve">Registro maestro, trazabilidad, integridad; pilotos de carga peligrosa y tacógrafo</w:t>
            </w:r>
          </w:p>
        </w:tc>
      </w:tr>
      <w:tr>
        <w:trPr>
          <w:cantSplit/>
        </w:trPr>
        <w:tc>
          <w:tcPr>
            <w:tcW w:w="4675" w:type="dxa"/>
            <w:vAlign w:val="top"/>
          </w:tcPr>
          <w:p>
            <w:pPr>
              <w:spacing w:before="40" w:after="40"/>
              <w:rPr>
                <w:sz w:val="18"/>
              </w:rPr>
            </w:pPr>
            <w:r>
              <w:rPr>
                <w:sz w:val="18"/>
                <w:szCs w:val="18"/>
              </w:rPr>
              <w:t xml:space="preserve">Posición y operación offline</w:t>
            </w:r>
          </w:p>
        </w:tc>
        <w:tc>
          <w:tcPr>
            <w:tcW w:w="4675" w:type="dxa"/>
            <w:vAlign w:val="top"/>
          </w:tcPr>
          <w:p>
            <w:pPr>
              <w:spacing w:before="40" w:after="40"/>
              <w:rPr>
                <w:sz w:val="18"/>
              </w:rPr>
            </w:pPr>
            <w:r>
              <w:rPr>
                <w:sz w:val="18"/>
                <w:szCs w:val="18"/>
              </w:rPr>
              <w:t xml:space="preserve">Vista única piloto, geocercas y almacenamiento mínimo de 72 h</w:t>
            </w:r>
          </w:p>
        </w:tc>
      </w:tr>
      <w:tr>
        <w:trPr>
          <w:cantSplit/>
        </w:trPr>
        <w:tc>
          <w:tcPr>
            <w:tcW w:w="4675" w:type="dxa"/>
            <w:vAlign w:val="top"/>
          </w:tcPr>
          <w:p>
            <w:pPr>
              <w:spacing w:before="40" w:after="40"/>
              <w:rPr>
                <w:sz w:val="18"/>
              </w:rPr>
            </w:pPr>
            <w:r>
              <w:rPr>
                <w:sz w:val="18"/>
                <w:szCs w:val="18"/>
              </w:rPr>
              <w:t xml:space="preserve">Viaje y facturación</w:t>
            </w:r>
          </w:p>
        </w:tc>
        <w:tc>
          <w:tcPr>
            <w:tcW w:w="4675" w:type="dxa"/>
            <w:vAlign w:val="top"/>
          </w:tcPr>
          <w:p>
            <w:pPr>
              <w:spacing w:before="40" w:after="40"/>
              <w:rPr>
                <w:sz w:val="18"/>
              </w:rPr>
            </w:pPr>
            <w:r>
              <w:rPr>
                <w:sz w:val="18"/>
                <w:szCs w:val="18"/>
              </w:rPr>
              <w:t xml:space="preserve">Documento conforme antes del movimiento aun sin cobertura, con emisor contable único</w:t>
            </w:r>
          </w:p>
        </w:tc>
      </w:tr>
      <w:tr>
        <w:trPr>
          <w:cantSplit/>
        </w:trPr>
        <w:tc>
          <w:tcPr>
            <w:tcW w:w="4675" w:type="dxa"/>
            <w:vAlign w:val="top"/>
          </w:tcPr>
          <w:p>
            <w:pPr>
              <w:spacing w:before="40" w:after="40"/>
              <w:rPr>
                <w:sz w:val="18"/>
              </w:rPr>
            </w:pPr>
            <w:r>
              <w:rPr>
                <w:sz w:val="18"/>
                <w:szCs w:val="18"/>
              </w:rPr>
              <w:t xml:space="preserve">Costos y liquidación</w:t>
            </w:r>
          </w:p>
        </w:tc>
        <w:tc>
          <w:tcPr>
            <w:tcW w:w="4675" w:type="dxa"/>
            <w:vAlign w:val="top"/>
          </w:tcPr>
          <w:p>
            <w:pPr>
              <w:spacing w:before="40" w:after="40"/>
              <w:rPr>
                <w:sz w:val="18"/>
              </w:rPr>
            </w:pPr>
            <w:r>
              <w:rPr>
                <w:sz w:val="18"/>
                <w:szCs w:val="18"/>
              </w:rPr>
              <w:t xml:space="preserve">Costo consolidado en 24 h con faltantes explícitos; liquidación por excepción</w:t>
            </w:r>
          </w:p>
        </w:tc>
      </w:tr>
      <w:tr>
        <w:trPr>
          <w:cantSplit/>
        </w:trPr>
        <w:tc>
          <w:tcPr>
            <w:tcW w:w="4675" w:type="dxa"/>
            <w:vAlign w:val="top"/>
          </w:tcPr>
          <w:p>
            <w:pPr>
              <w:spacing w:before="40" w:after="40"/>
              <w:rPr>
                <w:sz w:val="18"/>
              </w:rPr>
            </w:pPr>
            <w:r>
              <w:rPr>
                <w:sz w:val="18"/>
                <w:szCs w:val="18"/>
              </w:rPr>
              <w:t xml:space="preserve">Base de emisiones</w:t>
            </w:r>
          </w:p>
        </w:tc>
        <w:tc>
          <w:tcPr>
            <w:tcW w:w="4675" w:type="dxa"/>
            <w:vAlign w:val="top"/>
          </w:tcPr>
          <w:p>
            <w:pPr>
              <w:spacing w:before="40" w:after="40"/>
              <w:rPr>
                <w:sz w:val="18"/>
              </w:rPr>
            </w:pPr>
            <w:r>
              <w:rPr>
                <w:sz w:val="18"/>
                <w:szCs w:val="18"/>
              </w:rPr>
              <w:t xml:space="preserve">Fuentes, línea base y metodología declarada — </w:t>
            </w:r>
            <w:r>
              <w:rPr>
                <w:b/>
                <w:sz w:val="18"/>
                <w:szCs w:val="18"/>
              </w:rPr>
              <w:t xml:space="preserve">no</w:t>
            </w:r>
            <w:r>
              <w:rPr>
                <w:sz w:val="18"/>
                <w:szCs w:val="18"/>
              </w:rPr>
              <w:t xml:space="preserve"> cálculo productivo completo</w:t>
            </w:r>
          </w:p>
        </w:tc>
      </w:tr>
      <w:tr>
        <w:trPr>
          <w:cantSplit/>
        </w:trPr>
        <w:tc>
          <w:tcPr>
            <w:tcW w:w="4675" w:type="dxa"/>
            <w:vAlign w:val="top"/>
          </w:tcPr>
          <w:p>
            <w:pPr>
              <w:spacing w:before="40" w:after="40"/>
              <w:rPr>
                <w:sz w:val="18"/>
              </w:rPr>
            </w:pPr>
            <w:r>
              <w:rPr>
                <w:sz w:val="18"/>
                <w:szCs w:val="18"/>
              </w:rPr>
              <w:t xml:space="preserve">Portales y consentimiento</w:t>
            </w:r>
          </w:p>
        </w:tc>
        <w:tc>
          <w:tcPr>
            <w:tcW w:w="4675" w:type="dxa"/>
            <w:vAlign w:val="top"/>
          </w:tcPr>
          <w:p>
            <w:pPr>
              <w:spacing w:before="40" w:after="40"/>
              <w:rPr>
                <w:sz w:val="18"/>
              </w:rPr>
            </w:pPr>
            <w:r>
              <w:rPr>
                <w:sz w:val="18"/>
                <w:szCs w:val="18"/>
              </w:rPr>
              <w:t xml:space="preserve">Portal mínimo, segregación, adhesión y permisos granulares</w:t>
            </w:r>
          </w:p>
        </w:tc>
      </w:tr>
      <w:tr>
        <w:trPr>
          <w:cantSplit/>
        </w:trPr>
        <w:tc>
          <w:tcPr>
            <w:tcW w:w="4675" w:type="dxa"/>
            <w:vAlign w:val="top"/>
          </w:tcPr>
          <w:p>
            <w:pPr>
              <w:spacing w:before="40" w:after="40"/>
              <w:rPr>
                <w:sz w:val="18"/>
              </w:rPr>
            </w:pPr>
            <w:r>
              <w:rPr>
                <w:sz w:val="18"/>
                <w:szCs w:val="18"/>
              </w:rPr>
              <w:t xml:space="preserve">Flota y mantenimiento</w:t>
            </w:r>
          </w:p>
        </w:tc>
        <w:tc>
          <w:tcPr>
            <w:tcW w:w="4675" w:type="dxa"/>
            <w:vAlign w:val="top"/>
          </w:tcPr>
          <w:p>
            <w:pPr>
              <w:spacing w:before="40" w:after="40"/>
              <w:rPr>
                <w:sz w:val="18"/>
              </w:rPr>
            </w:pPr>
            <w:r>
              <w:rPr>
                <w:sz w:val="18"/>
                <w:szCs w:val="18"/>
              </w:rPr>
              <w:t xml:space="preserve">Pilotos de kilometraje real y alerta de lugar seguro</w:t>
            </w:r>
          </w:p>
        </w:tc>
      </w:tr>
      <w:tr>
        <w:trPr>
          <w:cantSplit/>
        </w:trPr>
        <w:tc>
          <w:tcPr>
            <w:tcW w:w="4675" w:type="dxa"/>
            <w:vAlign w:val="top"/>
          </w:tcPr>
          <w:p>
            <w:pPr>
              <w:spacing w:before="40" w:after="40"/>
              <w:rPr>
                <w:sz w:val="18"/>
              </w:rPr>
            </w:pPr>
            <w:r>
              <w:rPr>
                <w:sz w:val="18"/>
                <w:szCs w:val="18"/>
              </w:rPr>
              <w:t xml:space="preserve">Implantación y operación</w:t>
            </w:r>
          </w:p>
        </w:tc>
        <w:tc>
          <w:tcPr>
            <w:tcW w:w="4675" w:type="dxa"/>
            <w:vAlign w:val="top"/>
          </w:tcPr>
          <w:p>
            <w:pPr>
              <w:spacing w:before="40" w:after="40"/>
              <w:rPr>
                <w:sz w:val="18"/>
              </w:rPr>
            </w:pPr>
            <w:r>
              <w:rPr>
                <w:sz w:val="18"/>
                <w:szCs w:val="18"/>
              </w:rPr>
              <w:t xml:space="preserve">Pilotos por familia, RACI, despliegue progresivo</w:t>
            </w:r>
          </w:p>
        </w:tc>
      </w:tr>
    </w:tbl>
    <w:p>
      <w:pPr>
        <w:spacing w:before="0" w:after="100"/>
      </w:pPr>
    </w:p>
    <w:p>
      <w:pPr>
        <w:pStyle w:val="Heading2"/>
        <w:keepNext/>
        <w:spacing w:before="260" w:after="100"/>
      </w:pPr>
      <w:r>
        <w:t xml:space="preserve">Entradas obligatorias de Etapa 1</w:t>
      </w:r>
    </w:p>
    <w:p>
      <w:pPr>
        <w:spacing w:before="0" w:after="140" w:line="264" w:lineRule="auto"/>
      </w:pPr>
      <w:r>
        <w:t xml:space="preserve">Padrones de 374 tractocamiones, 210 semirremolques, 454 conductores, 148 transportistas y 84 clientes; las cuatro planillas de vigencias con sus respaldos.</w:t>
      </w:r>
    </w:p>
    <w:p>
      <w:pPr>
        <w:pStyle w:val="Heading2"/>
        <w:keepNext/>
        <w:spacing w:before="260" w:after="100"/>
      </w:pPr>
      <w:r>
        <w:t xml:space="preserve">Lo que queda fuera del alcance y hay que decir en voz alta</w:t>
      </w:r>
    </w:p>
    <w:p>
      <w:pPr>
        <w:ind w:left="340"/>
        <w:spacing w:before="20" w:after="60"/>
      </w:pPr>
      <w:r>
        <w:t xml:space="preserve">•  </w:t>
      </w:r>
      <w:r>
        <w:t xml:space="preserve">No se reemplaza el sistema contable ni la emisión de documentos tributarios.</w:t>
      </w:r>
    </w:p>
    <w:p>
      <w:pPr>
        <w:ind w:left="340"/>
        <w:spacing w:before="20" w:after="60"/>
      </w:pPr>
      <w:r>
        <w:t xml:space="preserve">•  </w:t>
      </w:r>
      <w:r>
        <w:t xml:space="preserve">No se interviene la electrónica de fábrica del vehículo.</w:t>
      </w:r>
    </w:p>
    <w:p>
      <w:pPr>
        <w:ind w:left="340"/>
        <w:spacing w:before="20" w:after="60"/>
      </w:pPr>
      <w:r>
        <w:t xml:space="preserve">•  </w:t>
      </w:r>
      <w:r>
        <w:rPr>
          <w:b/>
        </w:rPr>
        <w:t xml:space="preserve">No se reemplazan las plataformas de posicionamiento de terceros</w:t>
      </w:r>
      <w:r>
        <w:t xml:space="preserve">, aunque sí se unifica la</w:t>
      </w:r>
    </w:p>
    <w:p>
      <w:pPr>
        <w:spacing w:before="0" w:after="140" w:line="264" w:lineRule="auto"/>
      </w:pPr>
      <w:r>
        <w:t xml:space="preserve">vista y se especifica qué se requeriría para homologarlas (Cap. 11, FEP03 p.24).</w:t>
      </w:r>
    </w:p>
    <w:p>
      <w:pPr>
        <w:ind w:left="340"/>
        <w:spacing w:before="20" w:after="60"/>
      </w:pPr>
      <w:r>
        <w:t xml:space="preserve">•  </w:t>
      </w:r>
      <w:r>
        <w:t xml:space="preserve">No se instala equipamiento en los puntos de carga y descarga de clientes.</w:t>
      </w:r>
    </w:p>
    <w:p>
      <w:pPr>
        <w:ind w:left="340"/>
        <w:spacing w:before="20" w:after="60"/>
      </w:pPr>
      <w:r>
        <w:t xml:space="preserve">•  </w:t>
      </w:r>
      <w:r>
        <w:rPr>
          <w:b/>
        </w:rPr>
        <w:t xml:space="preserve">El hardware lo adquiere el CLIENTE</w:t>
      </w:r>
      <w:r>
        <w:t xml:space="preserve">; audIT especifica qué comprar, cuánto y con qué</w:t>
      </w:r>
    </w:p>
    <w:p>
      <w:pPr>
        <w:spacing w:before="0" w:after="140" w:line="264" w:lineRule="auto"/>
      </w:pPr>
      <w:r>
        <w:t xml:space="preserve">características.</w:t>
      </w:r>
    </w:p>
    <w:p>
      <w:pPr>
        <w:pBdr>
          <w:bottom w:val="single" w:sz="6" w:space="1" w:color="C8D2DE"/>
        </w:pBdr>
        <w:spacing w:before="160" w:after="160"/>
      </w:pPr>
    </w:p>
    <w:p>
      <w:pPr>
        <w:pStyle w:val="Heading1"/>
        <w:keepNext/>
        <w:spacing w:before="320" w:after="120"/>
      </w:pPr>
      <w:r>
        <w:t xml:space="preserve">5 · Debe presentar la Arquitectura Lógica y Física</w:t>
      </w:r>
    </w:p>
    <w:p>
      <w:pPr>
        <w:pStyle w:val="Heading2"/>
        <w:keepNext/>
        <w:spacing w:before="260" w:after="100"/>
      </w:pPr>
      <w:r>
        <w:t xml:space="preserve">5.A · Arquitectura lógica (subdoc. 4.1 · D3 · 16 %)</w:t>
      </w:r>
    </w:p>
    <w:p>
      <w:pPr>
        <w:spacing w:before="0" w:after="140" w:line="264" w:lineRule="auto"/>
      </w:pPr>
      <w:r>
        <w:rPr>
          <w:b/>
        </w:rPr>
        <w:t xml:space="preserve">Fuente completa:</w:t>
      </w:r>
      <w:r>
        <w:t xml:space="preserve"> </w:t>
      </w:r>
      <w:r>
        <w:rPr>
          <w:rFonts w:ascii="Consolas" w:hAnsi="Consolas"/>
          <w:color w:val="5B21B6"/>
          <w:sz w:val="20"/>
          <w:szCs w:val="20"/>
          <w:shd w:val="clear" w:fill="F1F4F8"/>
        </w:rPr>
        <w:t xml:space="preserve">equipo/D3/subdoc4.1-arquitectura-logica.md</w:t>
      </w:r>
    </w:p>
    <w:p>
      <w:pPr>
        <w:spacing w:before="0" w:after="140" w:line="264" w:lineRule="auto"/>
      </w:pPr>
      <w:r>
        <w:t xml:space="preserve">Las </w:t>
      </w:r>
      <w:r>
        <w:rPr>
          <w:b/>
        </w:rPr>
        <w:t xml:space="preserve">ocho capas del numeral 2.1 transversal</w:t>
      </w:r>
      <w:r>
        <w:t xml:space="preserve"> (FEP02 p.6) son de existencia obligatoria; RT-02.01 exige el diagrama identificando cada capa, sus componentes y las interfaces.</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4675"/>
        <w:gridCol w:w="4675"/>
      </w:tblGrid>
      <w:tr>
        <w:trPr>
          <w:tblHeader/>
          <w:cantSplit/>
        </w:trPr>
        <w:tc>
          <w:tcPr>
            <w:tcW w:w="4675" w:type="dxa"/>
            <w:shd w:val="clear" w:fill="EDF2F8"/>
            <w:vAlign w:val="top"/>
          </w:tcPr>
          <w:p>
            <w:pPr>
              <w:spacing w:before="40" w:after="40"/>
              <w:rPr>
                <w:sz w:val="18"/>
              </w:rPr>
            </w:pPr>
            <w:r>
              <w:rPr>
                <w:b/>
                <w:sz w:val="18"/>
                <w:szCs w:val="18"/>
              </w:rPr>
              <w:t xml:space="preserve">Capa</w:t>
            </w:r>
          </w:p>
        </w:tc>
        <w:tc>
          <w:tcPr>
            <w:tcW w:w="4675" w:type="dxa"/>
            <w:shd w:val="clear" w:fill="EDF2F8"/>
            <w:vAlign w:val="top"/>
          </w:tcPr>
          <w:p>
            <w:pPr>
              <w:spacing w:before="40" w:after="40"/>
              <w:rPr>
                <w:sz w:val="18"/>
              </w:rPr>
            </w:pPr>
            <w:r>
              <w:rPr>
                <w:b/>
                <w:sz w:val="18"/>
                <w:szCs w:val="18"/>
              </w:rPr>
              <w:t xml:space="preserve">Contenido en esta solución</w:t>
            </w:r>
          </w:p>
        </w:tc>
      </w:tr>
      <w:tr>
        <w:trPr>
          <w:cantSplit/>
        </w:trPr>
        <w:tc>
          <w:tcPr>
            <w:tcW w:w="4675" w:type="dxa"/>
            <w:vAlign w:val="top"/>
          </w:tcPr>
          <w:p>
            <w:pPr>
              <w:spacing w:before="40" w:after="40"/>
              <w:rPr>
                <w:sz w:val="18"/>
              </w:rPr>
            </w:pPr>
            <w:r>
              <w:rPr>
                <w:sz w:val="18"/>
                <w:szCs w:val="18"/>
              </w:rPr>
              <w:t xml:space="preserve">Presentación</w:t>
            </w:r>
          </w:p>
        </w:tc>
        <w:tc>
          <w:tcPr>
            <w:tcW w:w="4675" w:type="dxa"/>
            <w:vAlign w:val="top"/>
          </w:tcPr>
          <w:p>
            <w:pPr>
              <w:spacing w:before="40" w:after="40"/>
              <w:rPr>
                <w:sz w:val="18"/>
              </w:rPr>
            </w:pPr>
            <w:r>
              <w:rPr>
                <w:sz w:val="18"/>
                <w:szCs w:val="18"/>
              </w:rPr>
              <w:t xml:space="preserve">Portal web, app móvil operable con guantes, terminales de torre y taller</w:t>
            </w:r>
          </w:p>
        </w:tc>
      </w:tr>
      <w:tr>
        <w:trPr>
          <w:cantSplit/>
        </w:trPr>
        <w:tc>
          <w:tcPr>
            <w:tcW w:w="4675" w:type="dxa"/>
            <w:vAlign w:val="top"/>
          </w:tcPr>
          <w:p>
            <w:pPr>
              <w:spacing w:before="40" w:after="40"/>
              <w:rPr>
                <w:sz w:val="18"/>
              </w:rPr>
            </w:pPr>
            <w:r>
              <w:rPr>
                <w:sz w:val="18"/>
                <w:szCs w:val="18"/>
              </w:rPr>
              <w:t xml:space="preserve">Borde y exposición</w:t>
            </w:r>
          </w:p>
        </w:tc>
        <w:tc>
          <w:tcPr>
            <w:tcW w:w="4675" w:type="dxa"/>
            <w:vAlign w:val="top"/>
          </w:tcPr>
          <w:p>
            <w:pPr>
              <w:spacing w:before="40" w:after="40"/>
              <w:rPr>
                <w:sz w:val="18"/>
              </w:rPr>
            </w:pPr>
            <w:r>
              <w:rPr>
                <w:sz w:val="18"/>
                <w:szCs w:val="18"/>
              </w:rPr>
              <w:t xml:space="preserve">Front Door / WAF gestionado, anti-DDoS L3-L7, terminación TLS 1.3</w:t>
            </w:r>
          </w:p>
        </w:tc>
      </w:tr>
      <w:tr>
        <w:trPr>
          <w:cantSplit/>
        </w:trPr>
        <w:tc>
          <w:tcPr>
            <w:tcW w:w="4675" w:type="dxa"/>
            <w:vAlign w:val="top"/>
          </w:tcPr>
          <w:p>
            <w:pPr>
              <w:spacing w:before="40" w:after="40"/>
              <w:rPr>
                <w:sz w:val="18"/>
              </w:rPr>
            </w:pPr>
            <w:r>
              <w:rPr>
                <w:sz w:val="18"/>
                <w:szCs w:val="18"/>
              </w:rPr>
              <w:t xml:space="preserve">Puerta de enlace</w:t>
            </w:r>
          </w:p>
        </w:tc>
        <w:tc>
          <w:tcPr>
            <w:tcW w:w="4675" w:type="dxa"/>
            <w:vAlign w:val="top"/>
          </w:tcPr>
          <w:p>
            <w:pPr>
              <w:spacing w:before="40" w:after="40"/>
              <w:rPr>
                <w:sz w:val="18"/>
              </w:rPr>
            </w:pPr>
            <w:r>
              <w:rPr>
                <w:sz w:val="18"/>
                <w:szCs w:val="18"/>
              </w:rPr>
              <w:t xml:space="preserve">API Management: cuotas, límites de tasa, versionado semántico, validación de esquema</w:t>
            </w:r>
          </w:p>
        </w:tc>
      </w:tr>
      <w:tr>
        <w:trPr>
          <w:cantSplit/>
        </w:trPr>
        <w:tc>
          <w:tcPr>
            <w:tcW w:w="4675" w:type="dxa"/>
            <w:vAlign w:val="top"/>
          </w:tcPr>
          <w:p>
            <w:pPr>
              <w:spacing w:before="40" w:after="40"/>
              <w:rPr>
                <w:sz w:val="18"/>
              </w:rPr>
            </w:pPr>
            <w:r>
              <w:rPr>
                <w:b/>
                <w:sz w:val="18"/>
                <w:szCs w:val="18"/>
              </w:rPr>
              <w:t xml:space="preserve">Servicios de negocio</w:t>
            </w:r>
          </w:p>
        </w:tc>
        <w:tc>
          <w:tcPr>
            <w:tcW w:w="4675" w:type="dxa"/>
            <w:vAlign w:val="top"/>
          </w:tcPr>
          <w:p>
            <w:pPr>
              <w:spacing w:before="40" w:after="40"/>
              <w:rPr>
                <w:sz w:val="18"/>
              </w:rPr>
            </w:pPr>
            <w:r>
              <w:rPr>
                <w:sz w:val="18"/>
                <w:szCs w:val="18"/>
              </w:rPr>
              <w:t xml:space="preserve">Microservicios por límites de contexto: Despacho, Flota, Jornada, Documental, Liquidaciones, Contratos</w:t>
            </w:r>
          </w:p>
        </w:tc>
      </w:tr>
      <w:tr>
        <w:trPr>
          <w:cantSplit/>
        </w:trPr>
        <w:tc>
          <w:tcPr>
            <w:tcW w:w="4675" w:type="dxa"/>
            <w:vAlign w:val="top"/>
          </w:tcPr>
          <w:p>
            <w:pPr>
              <w:spacing w:before="40" w:after="40"/>
              <w:rPr>
                <w:sz w:val="18"/>
              </w:rPr>
            </w:pPr>
            <w:r>
              <w:rPr>
                <w:sz w:val="18"/>
                <w:szCs w:val="18"/>
              </w:rPr>
              <w:t xml:space="preserve">Integración y eventos</w:t>
            </w:r>
          </w:p>
        </w:tc>
        <w:tc>
          <w:tcPr>
            <w:tcW w:w="4675" w:type="dxa"/>
            <w:vAlign w:val="top"/>
          </w:tcPr>
          <w:p>
            <w:pPr>
              <w:spacing w:before="40" w:after="40"/>
              <w:rPr>
                <w:sz w:val="18"/>
              </w:rPr>
            </w:pPr>
            <w:r>
              <w:rPr>
                <w:sz w:val="18"/>
                <w:szCs w:val="18"/>
              </w:rPr>
              <w:t xml:space="preserve">Event Hubs para telemetría masiva, Service Bus transaccional, colas de mensajes fallidos</w:t>
            </w:r>
          </w:p>
        </w:tc>
      </w:tr>
      <w:tr>
        <w:trPr>
          <w:cantSplit/>
        </w:trPr>
        <w:tc>
          <w:tcPr>
            <w:tcW w:w="4675" w:type="dxa"/>
            <w:vAlign w:val="top"/>
          </w:tcPr>
          <w:p>
            <w:pPr>
              <w:spacing w:before="40" w:after="40"/>
              <w:rPr>
                <w:sz w:val="18"/>
              </w:rPr>
            </w:pPr>
            <w:r>
              <w:rPr>
                <w:sz w:val="18"/>
                <w:szCs w:val="18"/>
              </w:rPr>
              <w:t xml:space="preserve">Datos</w:t>
            </w:r>
          </w:p>
        </w:tc>
        <w:tc>
          <w:tcPr>
            <w:tcW w:w="4675" w:type="dxa"/>
            <w:vAlign w:val="top"/>
          </w:tcPr>
          <w:p>
            <w:pPr>
              <w:spacing w:before="40" w:after="40"/>
              <w:rPr>
                <w:sz w:val="18"/>
              </w:rPr>
            </w:pPr>
            <w:r>
              <w:rPr>
                <w:sz w:val="18"/>
                <w:szCs w:val="18"/>
              </w:rPr>
              <w:t xml:space="preserve">Políglota: relacional transaccional, series de tiempo, objeto documental, lakehouse analítico</w:t>
            </w:r>
          </w:p>
        </w:tc>
      </w:tr>
      <w:tr>
        <w:trPr>
          <w:cantSplit/>
        </w:trPr>
        <w:tc>
          <w:tcPr>
            <w:tcW w:w="4675" w:type="dxa"/>
            <w:vAlign w:val="top"/>
          </w:tcPr>
          <w:p>
            <w:pPr>
              <w:spacing w:before="40" w:after="40"/>
              <w:rPr>
                <w:sz w:val="18"/>
              </w:rPr>
            </w:pPr>
            <w:r>
              <w:rPr>
                <w:b/>
                <w:sz w:val="18"/>
                <w:szCs w:val="18"/>
              </w:rPr>
              <w:t xml:space="preserve">Seguridad</w:t>
            </w:r>
            <w:r>
              <w:rPr>
                <w:sz w:val="18"/>
                <w:szCs w:val="18"/>
              </w:rPr>
              <w:t xml:space="preserve"> (transversal)</w:t>
            </w:r>
          </w:p>
        </w:tc>
        <w:tc>
          <w:tcPr>
            <w:tcW w:w="4675" w:type="dxa"/>
            <w:vAlign w:val="top"/>
          </w:tcPr>
          <w:p>
            <w:pPr>
              <w:spacing w:before="40" w:after="40"/>
              <w:rPr>
                <w:sz w:val="18"/>
              </w:rPr>
            </w:pPr>
            <w:r>
              <w:rPr>
                <w:sz w:val="18"/>
                <w:szCs w:val="18"/>
              </w:rPr>
              <w:t xml:space="preserve">Key Vault, Entra ID (OAuth 2.1 / OIDC), auditoría criptográfica</w:t>
            </w:r>
          </w:p>
        </w:tc>
      </w:tr>
      <w:tr>
        <w:trPr>
          <w:cantSplit/>
        </w:trPr>
        <w:tc>
          <w:tcPr>
            <w:tcW w:w="4675" w:type="dxa"/>
            <w:vAlign w:val="top"/>
          </w:tcPr>
          <w:p>
            <w:pPr>
              <w:spacing w:before="40" w:after="40"/>
              <w:rPr>
                <w:sz w:val="18"/>
              </w:rPr>
            </w:pPr>
            <w:r>
              <w:rPr>
                <w:b/>
                <w:sz w:val="18"/>
                <w:szCs w:val="18"/>
              </w:rPr>
              <w:t xml:space="preserve">Observabilidad</w:t>
            </w:r>
            <w:r>
              <w:rPr>
                <w:sz w:val="18"/>
                <w:szCs w:val="18"/>
              </w:rPr>
              <w:t xml:space="preserve"> (transversal)</w:t>
            </w:r>
          </w:p>
        </w:tc>
        <w:tc>
          <w:tcPr>
            <w:tcW w:w="4675" w:type="dxa"/>
            <w:vAlign w:val="top"/>
          </w:tcPr>
          <w:p>
            <w:pPr>
              <w:spacing w:before="40" w:after="40"/>
              <w:rPr>
                <w:sz w:val="18"/>
              </w:rPr>
            </w:pPr>
            <w:r>
              <w:rPr>
                <w:sz w:val="18"/>
                <w:szCs w:val="18"/>
              </w:rPr>
              <w:t xml:space="preserve">OpenTelemetry sin puntos ciegos en nube ni terminales</w:t>
            </w:r>
          </w:p>
        </w:tc>
      </w:tr>
    </w:tbl>
    <w:p>
      <w:pPr>
        <w:spacing w:before="0" w:after="100"/>
      </w:pPr>
    </w:p>
    <w:p>
      <w:pPr>
        <w:spacing w:before="0" w:after="140" w:line="264" w:lineRule="auto"/>
      </w:pPr>
      <w:r>
        <w:rPr>
          <w:b/>
        </w:rPr>
        <w:t xml:space="preserve">Regla del propio numeral 2.1:</w:t>
      </w:r>
      <w:r>
        <w:t xml:space="preserve"> ninguna interfaz accede directamente a la base de datos.</w:t>
      </w:r>
    </w:p>
    <w:p>
      <w:pPr>
        <w:spacing w:before="0" w:after="140" w:line="264" w:lineRule="auto"/>
      </w:pPr>
      <w:r>
        <w:rPr>
          <w:b/>
        </w:rPr>
        <w:t xml:space="preserve">Piezas que definen el diseño lógico:</w:t>
      </w:r>
    </w:p>
    <w:p>
      <w:pPr>
        <w:ind w:left="340"/>
        <w:spacing w:before="20" w:after="60"/>
      </w:pPr>
      <w:r>
        <w:t xml:space="preserve">•  </w:t>
      </w:r>
      <w:r>
        <w:rPr>
          <w:b/>
        </w:rPr>
        <w:t xml:space="preserve">Capa anticorrupción (ACL).</w:t>
      </w:r>
      <w:r>
        <w:t xml:space="preserve"> Sustituye los módulos operativos del sistema de 2013 —tráfico,</w:t>
      </w:r>
    </w:p>
    <w:p>
      <w:pPr>
        <w:spacing w:before="0" w:after="140" w:line="264" w:lineRule="auto"/>
      </w:pPr>
      <w:r>
        <w:t xml:space="preserve">despacho, tarifas, liquidación— y encapsula el ERP contable, que se conserva como </w:t>
      </w:r>
      <w:r>
        <w:rPr>
          <w:b/>
        </w:rPr>
        <w:t xml:space="preserve">único emisor de documentos tributarios</w:t>
      </w:r>
      <w:r>
        <w:t xml:space="preserve">. Fundamento: </w:t>
      </w:r>
      <w:r>
        <w:rPr>
          <w:b/>
        </w:rPr>
        <w:t xml:space="preserve">RT-05.20</w:t>
      </w:r>
      <w:r>
        <w:t xml:space="preserve"> (obligatorio); RT-02.14 lo valora además como patrón de arquitectura evolutiva (deseable).</w:t>
      </w:r>
    </w:p>
    <w:p>
      <w:pPr>
        <w:ind w:left="340"/>
        <w:spacing w:before="20" w:after="60"/>
      </w:pPr>
      <w:r>
        <w:t xml:space="preserve">•  </w:t>
      </w:r>
      <w:r>
        <w:rPr>
          <w:b/>
        </w:rPr>
        <w:t xml:space="preserve">Servicios sin estado</w:t>
      </w:r>
      <w:r>
        <w:t xml:space="preserve"> con idempotencia estricta: claves UUIDv4 y ventana de deduplicación de</w:t>
      </w:r>
    </w:p>
    <w:p>
      <w:pPr>
        <w:spacing w:before="0" w:after="140" w:line="264" w:lineRule="auto"/>
      </w:pPr>
      <w:r>
        <w:t xml:space="preserve">7 días, dimensionada para tolerar los cortes prolongados en ruta.</w:t>
      </w:r>
    </w:p>
    <w:p>
      <w:pPr>
        <w:ind w:left="340"/>
        <w:spacing w:before="20" w:after="60"/>
      </w:pPr>
      <w:r>
        <w:t xml:space="preserve">•  </w:t>
      </w:r>
      <w:r>
        <w:rPr>
          <w:b/>
        </w:rPr>
        <w:t xml:space="preserve">Patrones de resiliencia obligatorios (RT-02.08):</w:t>
      </w:r>
      <w:r>
        <w:t xml:space="preserve"> </w:t>
      </w:r>
      <w:r>
        <w:rPr>
          <w:i/>
        </w:rPr>
        <w:t xml:space="preserve">time-outs</w:t>
      </w:r>
      <w:r>
        <w:t xml:space="preserve"> explícitos —prohibida toda</w:t>
      </w:r>
    </w:p>
    <w:p>
      <w:pPr>
        <w:spacing w:before="0" w:after="140" w:line="264" w:lineRule="auto"/>
      </w:pPr>
      <w:r>
        <w:t xml:space="preserve">llamada remota sin límite declarado—, cortacircuitos, mamparos y reintento exponencial con variación aleatoria.</w:t>
      </w:r>
    </w:p>
    <w:p>
      <w:pPr>
        <w:ind w:left="340"/>
        <w:spacing w:before="20" w:after="60"/>
      </w:pPr>
      <w:r>
        <w:t xml:space="preserve">•  </w:t>
      </w:r>
      <w:r>
        <w:rPr>
          <w:b/>
        </w:rPr>
        <w:t xml:space="preserve">Separación OLTP / OLAP</w:t>
      </w:r>
      <w:r>
        <w:t xml:space="preserve"> por réplicas de lectura y lakehouse, para que la analítica no degrade</w:t>
      </w:r>
    </w:p>
    <w:p>
      <w:pPr>
        <w:spacing w:before="0" w:after="140" w:line="264" w:lineRule="auto"/>
      </w:pPr>
      <w:r>
        <w:t xml:space="preserve">la operación.</w:t>
      </w:r>
    </w:p>
    <w:p>
      <w:pPr>
        <w:pStyle w:val="Heading2"/>
        <w:keepNext/>
        <w:spacing w:before="260" w:after="100"/>
      </w:pPr>
      <w:r>
        <w:t xml:space="preserve">5.B · Arquitectura física (subdoc. 4.2 · D4 · 16 %)</w:t>
      </w:r>
    </w:p>
    <w:p>
      <w:pPr>
        <w:spacing w:before="0" w:after="140" w:line="264" w:lineRule="auto"/>
      </w:pPr>
      <w:r>
        <w:rPr>
          <w:b/>
        </w:rPr>
        <w:t xml:space="preserve">Fuente completa:</w:t>
      </w:r>
      <w:r>
        <w:t xml:space="preserve"> </w:t>
      </w:r>
      <w:r>
        <w:rPr>
          <w:rFonts w:ascii="Consolas" w:hAnsi="Consolas"/>
          <w:color w:val="5B21B6"/>
          <w:sz w:val="20"/>
          <w:szCs w:val="20"/>
          <w:shd w:val="clear" w:fill="F1F4F8"/>
        </w:rPr>
        <w:t xml:space="preserve">equipo/D4/D4-MATERIAL-INFORME1.md</w:t>
      </w:r>
    </w:p>
    <w:p>
      <w:pPr>
        <w:spacing w:before="0" w:after="140" w:line="264" w:lineRule="auto"/>
      </w:pPr>
      <w:r>
        <w:rPr>
          <w:b/>
        </w:rPr>
        <w:t xml:space="preserve">Principio rector:</w:t>
      </w:r>
      <w:r>
        <w:t xml:space="preserve"> el registro operacional de esta empresa no vive en un servidor, vive en 374 camiones; la nube es donde se consolida. El borde no es una víctima de la caída del enlace: es parte del esquema de continuidad.</w:t>
      </w:r>
    </w:p>
    <w:p>
      <w:pPr>
        <w:spacing w:before="0" w:after="140" w:line="264" w:lineRule="auto"/>
      </w:pPr>
      <w:r>
        <w:rPr>
          <w:b/>
        </w:rPr>
        <w:t xml:space="preserve">Cumplimiento del Artículo 16° — híbrido en tres planos simultáneos</w:t>
      </w:r>
      <w:r>
        <w:t xml:space="preserve">, no por conveniencia:</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3116"/>
        <w:gridCol w:w="3116"/>
        <w:gridCol w:w="3116"/>
      </w:tblGrid>
      <w:tr>
        <w:trPr>
          <w:tblHeader/>
          <w:cantSplit/>
        </w:trPr>
        <w:tc>
          <w:tcPr>
            <w:tcW w:w="3116" w:type="dxa"/>
            <w:shd w:val="clear" w:fill="EDF2F8"/>
            <w:vAlign w:val="top"/>
          </w:tcPr>
          <w:p>
            <w:pPr>
              <w:spacing w:before="40" w:after="40"/>
              <w:rPr>
                <w:sz w:val="18"/>
              </w:rPr>
            </w:pPr>
            <w:r>
              <w:rPr>
                <w:b/>
                <w:sz w:val="18"/>
                <w:szCs w:val="18"/>
              </w:rPr>
              <w:t xml:space="preserve">Plano</w:t>
            </w:r>
          </w:p>
        </w:tc>
        <w:tc>
          <w:tcPr>
            <w:tcW w:w="3116" w:type="dxa"/>
            <w:shd w:val="clear" w:fill="EDF2F8"/>
            <w:vAlign w:val="top"/>
          </w:tcPr>
          <w:p>
            <w:pPr>
              <w:spacing w:before="40" w:after="40"/>
              <w:rPr>
                <w:sz w:val="18"/>
              </w:rPr>
            </w:pPr>
            <w:r>
              <w:rPr>
                <w:b/>
                <w:sz w:val="18"/>
                <w:szCs w:val="18"/>
              </w:rPr>
              <w:t xml:space="preserve">Contenido</w:t>
            </w:r>
          </w:p>
        </w:tc>
        <w:tc>
          <w:tcPr>
            <w:tcW w:w="3116" w:type="dxa"/>
            <w:shd w:val="clear" w:fill="EDF2F8"/>
            <w:vAlign w:val="top"/>
          </w:tcPr>
          <w:p>
            <w:pPr>
              <w:spacing w:before="40" w:after="40"/>
              <w:rPr>
                <w:sz w:val="18"/>
              </w:rPr>
            </w:pPr>
            <w:r>
              <w:rPr>
                <w:b/>
                <w:sz w:val="18"/>
                <w:szCs w:val="18"/>
              </w:rPr>
              <w:t xml:space="preserve">Por qué no puede estar en otro lado</w:t>
            </w:r>
          </w:p>
        </w:tc>
      </w:tr>
      <w:tr>
        <w:trPr>
          <w:cantSplit/>
        </w:trPr>
        <w:tc>
          <w:tcPr>
            <w:tcW w:w="3116" w:type="dxa"/>
            <w:vAlign w:val="top"/>
          </w:tcPr>
          <w:p>
            <w:pPr>
              <w:spacing w:before="40" w:after="40"/>
              <w:rPr>
                <w:sz w:val="18"/>
              </w:rPr>
            </w:pPr>
            <w:r>
              <w:rPr>
                <w:b/>
                <w:sz w:val="18"/>
                <w:szCs w:val="18"/>
              </w:rPr>
              <w:t xml:space="preserve">Nube</w:t>
            </w:r>
          </w:p>
        </w:tc>
        <w:tc>
          <w:tcPr>
            <w:tcW w:w="3116" w:type="dxa"/>
            <w:vAlign w:val="top"/>
          </w:tcPr>
          <w:p>
            <w:pPr>
              <w:spacing w:before="40" w:after="40"/>
              <w:rPr>
                <w:sz w:val="18"/>
              </w:rPr>
            </w:pPr>
            <w:r>
              <w:rPr>
                <w:sz w:val="18"/>
                <w:szCs w:val="18"/>
              </w:rPr>
              <w:t xml:space="preserve">Núcleo transaccional, analítica, portales, integración</w:t>
            </w:r>
          </w:p>
        </w:tc>
        <w:tc>
          <w:tcPr>
            <w:tcW w:w="3116" w:type="dxa"/>
            <w:vAlign w:val="top"/>
          </w:tcPr>
          <w:p>
            <w:pPr>
              <w:spacing w:before="40" w:after="40"/>
              <w:rPr>
                <w:sz w:val="18"/>
              </w:rPr>
            </w:pPr>
            <w:r>
              <w:rPr>
                <w:sz w:val="18"/>
                <w:szCs w:val="18"/>
              </w:rPr>
              <w:t xml:space="preserve">Elasticidad a 430 camiones (RT-02.12) y peak de reconexión masiva</w:t>
            </w:r>
          </w:p>
        </w:tc>
      </w:tr>
      <w:tr>
        <w:trPr>
          <w:cantSplit/>
        </w:trPr>
        <w:tc>
          <w:tcPr>
            <w:tcW w:w="3116" w:type="dxa"/>
            <w:vAlign w:val="top"/>
          </w:tcPr>
          <w:p>
            <w:pPr>
              <w:spacing w:before="40" w:after="40"/>
              <w:rPr>
                <w:sz w:val="18"/>
              </w:rPr>
            </w:pPr>
            <w:r>
              <w:rPr>
                <w:b/>
                <w:sz w:val="18"/>
                <w:szCs w:val="18"/>
              </w:rPr>
              <w:t xml:space="preserve">On-premise de sitio</w:t>
            </w:r>
          </w:p>
        </w:tc>
        <w:tc>
          <w:tcPr>
            <w:tcW w:w="3116" w:type="dxa"/>
            <w:vAlign w:val="top"/>
          </w:tcPr>
          <w:p>
            <w:pPr>
              <w:spacing w:before="40" w:after="40"/>
              <w:rPr>
                <w:sz w:val="18"/>
              </w:rPr>
            </w:pPr>
            <w:r>
              <w:rPr>
                <w:sz w:val="18"/>
                <w:szCs w:val="18"/>
              </w:rPr>
              <w:t xml:space="preserve">Continuidad de la torre 24×7 y terminación de enlaces en San Bernardo; gabinetes en los 4 terminales regionales</w:t>
            </w:r>
          </w:p>
        </w:tc>
        <w:tc>
          <w:tcPr>
            <w:tcW w:w="3116" w:type="dxa"/>
            <w:vAlign w:val="top"/>
          </w:tcPr>
          <w:p>
            <w:pPr>
              <w:spacing w:before="40" w:after="40"/>
              <w:rPr>
                <w:sz w:val="18"/>
              </w:rPr>
            </w:pPr>
            <w:r>
              <w:rPr>
                <w:sz w:val="18"/>
                <w:szCs w:val="18"/>
              </w:rPr>
              <w:t xml:space="preserve">RT-06.01 del Caso exige gabinete por terminal dimensionado para RT-03.10</w:t>
            </w:r>
          </w:p>
        </w:tc>
      </w:tr>
      <w:tr>
        <w:trPr>
          <w:cantSplit/>
        </w:trPr>
        <w:tc>
          <w:tcPr>
            <w:tcW w:w="3116" w:type="dxa"/>
            <w:vAlign w:val="top"/>
          </w:tcPr>
          <w:p>
            <w:pPr>
              <w:spacing w:before="40" w:after="40"/>
              <w:rPr>
                <w:sz w:val="18"/>
              </w:rPr>
            </w:pPr>
            <w:r>
              <w:rPr>
                <w:b/>
                <w:sz w:val="18"/>
                <w:szCs w:val="18"/>
              </w:rPr>
              <w:t xml:space="preserve">On-premise distribuido</w:t>
            </w:r>
          </w:p>
        </w:tc>
        <w:tc>
          <w:tcPr>
            <w:tcW w:w="3116" w:type="dxa"/>
            <w:vAlign w:val="top"/>
          </w:tcPr>
          <w:p>
            <w:pPr>
              <w:spacing w:before="40" w:after="40"/>
              <w:rPr>
                <w:sz w:val="18"/>
              </w:rPr>
            </w:pPr>
            <w:r>
              <w:rPr>
                <w:sz w:val="18"/>
                <w:szCs w:val="18"/>
              </w:rPr>
              <w:t xml:space="preserve">374 dispositivos a bordo</w:t>
            </w:r>
          </w:p>
        </w:tc>
        <w:tc>
          <w:tcPr>
            <w:tcW w:w="3116" w:type="dxa"/>
            <w:vAlign w:val="top"/>
          </w:tcPr>
          <w:p>
            <w:pPr>
              <w:spacing w:before="40" w:after="40"/>
              <w:rPr>
                <w:sz w:val="18"/>
              </w:rPr>
            </w:pPr>
            <w:r>
              <w:rPr>
                <w:sz w:val="18"/>
                <w:szCs w:val="18"/>
              </w:rPr>
              <w:t xml:space="preserve">La operación no puede depender de la cobertura móvil (restricción 4)</w:t>
            </w:r>
          </w:p>
        </w:tc>
      </w:tr>
    </w:tbl>
    <w:p>
      <w:pPr>
        <w:spacing w:before="0" w:after="100"/>
      </w:pPr>
    </w:p>
    <w:p>
      <w:pPr>
        <w:spacing w:before="0" w:after="140" w:line="264" w:lineRule="auto"/>
      </w:pPr>
      <w:r>
        <w:rPr>
          <w:b/>
        </w:rPr>
        <w:t xml:space="preserve">El dispositivo a bordo es infraestructura, no accesorio.</w:t>
      </w:r>
      <w:r>
        <w:t xml:space="preserve"> RT-06.01 del Caso (FEP03 p.32) lo ordena literalmente: «debe tratarse como un componente on-premise distribuido en 374 unidades, con su propio ciclo de vida, su mecanismo de actualización remota, su gestión de seguridad y su plan de reposición».</w:t>
      </w:r>
    </w:p>
    <w:p>
      <w:pPr>
        <w:spacing w:before="0" w:after="140" w:line="264" w:lineRule="auto"/>
      </w:pPr>
      <w:r>
        <w:rPr>
          <w:b/>
        </w:rPr>
        <w:t xml:space="preserve">Tipología de recintos declarada</w:t>
      </w:r>
      <w:r>
        <w:t xml:space="preserve"> (numeral 6.1 transversal exige declararla y justificarla, y penaliza igual sobredimensionar que subdimensionar):</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3116"/>
        <w:gridCol w:w="3116"/>
        <w:gridCol w:w="3116"/>
      </w:tblGrid>
      <w:tr>
        <w:trPr>
          <w:tblHeader/>
          <w:cantSplit/>
        </w:trPr>
        <w:tc>
          <w:tcPr>
            <w:tcW w:w="3116" w:type="dxa"/>
            <w:shd w:val="clear" w:fill="EDF2F8"/>
            <w:vAlign w:val="top"/>
          </w:tcPr>
          <w:p>
            <w:pPr>
              <w:spacing w:before="40" w:after="40"/>
              <w:rPr>
                <w:sz w:val="18"/>
              </w:rPr>
            </w:pPr>
            <w:r>
              <w:rPr>
                <w:b/>
                <w:sz w:val="18"/>
                <w:szCs w:val="18"/>
              </w:rPr>
              <w:t xml:space="preserve">Sitio</w:t>
            </w:r>
          </w:p>
        </w:tc>
        <w:tc>
          <w:tcPr>
            <w:tcW w:w="3116" w:type="dxa"/>
            <w:shd w:val="clear" w:fill="EDF2F8"/>
            <w:vAlign w:val="top"/>
          </w:tcPr>
          <w:p>
            <w:pPr>
              <w:spacing w:before="40" w:after="40"/>
              <w:rPr>
                <w:sz w:val="18"/>
              </w:rPr>
            </w:pPr>
            <w:r>
              <w:rPr>
                <w:b/>
                <w:sz w:val="18"/>
                <w:szCs w:val="18"/>
              </w:rPr>
              <w:t xml:space="preserve">Tipología</w:t>
            </w:r>
          </w:p>
        </w:tc>
        <w:tc>
          <w:tcPr>
            <w:tcW w:w="3116" w:type="dxa"/>
            <w:shd w:val="clear" w:fill="EDF2F8"/>
            <w:vAlign w:val="top"/>
          </w:tcPr>
          <w:p>
            <w:pPr>
              <w:spacing w:before="40" w:after="40"/>
              <w:rPr>
                <w:sz w:val="18"/>
              </w:rPr>
            </w:pPr>
            <w:r>
              <w:rPr>
                <w:b/>
                <w:sz w:val="18"/>
                <w:szCs w:val="18"/>
              </w:rPr>
              <w:t xml:space="preserve">Justificación</w:t>
            </w:r>
          </w:p>
        </w:tc>
      </w:tr>
      <w:tr>
        <w:trPr>
          <w:cantSplit/>
        </w:trPr>
        <w:tc>
          <w:tcPr>
            <w:tcW w:w="3116" w:type="dxa"/>
            <w:vAlign w:val="top"/>
          </w:tcPr>
          <w:p>
            <w:pPr>
              <w:spacing w:before="40" w:after="40"/>
              <w:rPr>
                <w:sz w:val="18"/>
              </w:rPr>
            </w:pPr>
            <w:r>
              <w:rPr>
                <w:sz w:val="18"/>
                <w:szCs w:val="18"/>
              </w:rPr>
              <w:t xml:space="preserve">San Bernardo, 26 m²</w:t>
            </w:r>
          </w:p>
        </w:tc>
        <w:tc>
          <w:tcPr>
            <w:tcW w:w="3116" w:type="dxa"/>
            <w:vAlign w:val="top"/>
          </w:tcPr>
          <w:p>
            <w:pPr>
              <w:spacing w:before="40" w:after="40"/>
              <w:rPr>
                <w:sz w:val="18"/>
              </w:rPr>
            </w:pPr>
            <w:r>
              <w:rPr>
                <w:b/>
                <w:sz w:val="18"/>
                <w:szCs w:val="18"/>
              </w:rPr>
              <w:t xml:space="preserve">Sala técnica secundaria o de sitio</w:t>
            </w:r>
          </w:p>
        </w:tc>
        <w:tc>
          <w:tcPr>
            <w:tcW w:w="3116" w:type="dxa"/>
            <w:vAlign w:val="top"/>
          </w:tcPr>
          <w:p>
            <w:pPr>
              <w:spacing w:before="40" w:after="40"/>
              <w:rPr>
                <w:sz w:val="18"/>
              </w:rPr>
            </w:pPr>
            <w:r>
              <w:rPr>
                <w:sz w:val="18"/>
                <w:szCs w:val="18"/>
              </w:rPr>
              <w:t xml:space="preserve">El núcleo está en nube; aquí queda continuidad de la torre, terminación de enlaces y custodia de medios</w:t>
            </w:r>
          </w:p>
        </w:tc>
      </w:tr>
      <w:tr>
        <w:trPr>
          <w:cantSplit/>
        </w:trPr>
        <w:tc>
          <w:tcPr>
            <w:tcW w:w="3116" w:type="dxa"/>
            <w:vAlign w:val="top"/>
          </w:tcPr>
          <w:p>
            <w:pPr>
              <w:spacing w:before="40" w:after="40"/>
              <w:rPr>
                <w:sz w:val="18"/>
              </w:rPr>
            </w:pPr>
            <w:r>
              <w:rPr>
                <w:sz w:val="18"/>
                <w:szCs w:val="18"/>
              </w:rPr>
              <w:t xml:space="preserve">4 terminales regionales</w:t>
            </w:r>
          </w:p>
        </w:tc>
        <w:tc>
          <w:tcPr>
            <w:tcW w:w="3116" w:type="dxa"/>
            <w:vAlign w:val="top"/>
          </w:tcPr>
          <w:p>
            <w:pPr>
              <w:spacing w:before="40" w:after="40"/>
              <w:rPr>
                <w:sz w:val="18"/>
              </w:rPr>
            </w:pPr>
            <w:r>
              <w:rPr>
                <w:b/>
                <w:sz w:val="18"/>
                <w:szCs w:val="18"/>
              </w:rPr>
              <w:t xml:space="preserve">Gabinete o borde operacional</w:t>
            </w:r>
          </w:p>
        </w:tc>
        <w:tc>
          <w:tcPr>
            <w:tcW w:w="3116" w:type="dxa"/>
            <w:vAlign w:val="top"/>
          </w:tcPr>
          <w:p>
            <w:pPr>
              <w:spacing w:before="40" w:after="40"/>
              <w:rPr>
                <w:sz w:val="18"/>
              </w:rPr>
            </w:pPr>
            <w:r>
              <w:rPr>
                <w:sz w:val="18"/>
                <w:szCs w:val="18"/>
              </w:rPr>
              <w:t xml:space="preserve">RT-06.01 del Caso, texto expreso</w:t>
            </w:r>
          </w:p>
        </w:tc>
      </w:tr>
      <w:tr>
        <w:trPr>
          <w:cantSplit/>
        </w:trPr>
        <w:tc>
          <w:tcPr>
            <w:tcW w:w="3116" w:type="dxa"/>
            <w:vAlign w:val="top"/>
          </w:tcPr>
          <w:p>
            <w:pPr>
              <w:spacing w:before="40" w:after="40"/>
              <w:rPr>
                <w:sz w:val="18"/>
              </w:rPr>
            </w:pPr>
            <w:r>
              <w:rPr>
                <w:sz w:val="18"/>
                <w:szCs w:val="18"/>
              </w:rPr>
              <w:t xml:space="preserve">374 camiones</w:t>
            </w:r>
          </w:p>
        </w:tc>
        <w:tc>
          <w:tcPr>
            <w:tcW w:w="3116" w:type="dxa"/>
            <w:vAlign w:val="top"/>
          </w:tcPr>
          <w:p>
            <w:pPr>
              <w:spacing w:before="40" w:after="40"/>
              <w:rPr>
                <w:sz w:val="18"/>
              </w:rPr>
            </w:pPr>
            <w:r>
              <w:rPr>
                <w:b/>
                <w:sz w:val="18"/>
                <w:szCs w:val="18"/>
              </w:rPr>
              <w:t xml:space="preserve">On-premise distribuido</w:t>
            </w:r>
          </w:p>
        </w:tc>
        <w:tc>
          <w:tcPr>
            <w:tcW w:w="3116" w:type="dxa"/>
            <w:vAlign w:val="top"/>
          </w:tcPr>
          <w:p>
            <w:pPr>
              <w:spacing w:before="40" w:after="40"/>
              <w:rPr>
                <w:sz w:val="18"/>
              </w:rPr>
            </w:pPr>
            <w:r>
              <w:rPr>
                <w:sz w:val="18"/>
                <w:szCs w:val="18"/>
              </w:rPr>
              <w:t xml:space="preserve">RT-06.01 del Caso, texto expreso</w:t>
            </w:r>
          </w:p>
        </w:tc>
      </w:tr>
    </w:tbl>
    <w:p>
      <w:pPr>
        <w:spacing w:before="0" w:after="100"/>
      </w:pPr>
    </w:p>
    <w:p>
      <w:pPr>
        <w:spacing w:before="0" w:after="140" w:line="264" w:lineRule="auto"/>
      </w:pPr>
      <w:r>
        <w:rPr>
          <w:b/>
        </w:rPr>
        <w:t xml:space="preserve">Continuidad: dos ejes distintos, no uno.</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2337"/>
        <w:gridCol w:w="2337"/>
        <w:gridCol w:w="2337"/>
        <w:gridCol w:w="2337"/>
      </w:tblGrid>
      <w:tr>
        <w:trPr>
          <w:tblHeader/>
          <w:cantSplit/>
        </w:trPr>
        <w:tc>
          <w:tcPr>
            <w:tcW w:w="2337" w:type="dxa"/>
            <w:shd w:val="clear" w:fill="EDF2F8"/>
            <w:vAlign w:val="top"/>
          </w:tcPr>
          <w:p>
            <w:pPr>
              <w:spacing w:before="40" w:after="40"/>
              <w:rPr>
                <w:sz w:val="18"/>
              </w:rPr>
            </w:pPr>
            <w:r>
              <w:rPr>
                <w:b/>
                <w:sz w:val="18"/>
                <w:szCs w:val="18"/>
              </w:rPr>
              <w:t xml:space="preserve">Eje</w:t>
            </w:r>
          </w:p>
        </w:tc>
        <w:tc>
          <w:tcPr>
            <w:tcW w:w="2337" w:type="dxa"/>
            <w:shd w:val="clear" w:fill="EDF2F8"/>
            <w:vAlign w:val="top"/>
          </w:tcPr>
          <w:p>
            <w:pPr>
              <w:spacing w:before="40" w:after="40"/>
              <w:rPr>
                <w:sz w:val="18"/>
              </w:rPr>
            </w:pPr>
            <w:r>
              <w:rPr>
                <w:b/>
                <w:sz w:val="18"/>
                <w:szCs w:val="18"/>
              </w:rPr>
              <w:t xml:space="preserve">Primario</w:t>
            </w:r>
          </w:p>
        </w:tc>
        <w:tc>
          <w:tcPr>
            <w:tcW w:w="2337" w:type="dxa"/>
            <w:shd w:val="clear" w:fill="EDF2F8"/>
            <w:vAlign w:val="top"/>
          </w:tcPr>
          <w:p>
            <w:pPr>
              <w:spacing w:before="40" w:after="40"/>
              <w:rPr>
                <w:sz w:val="18"/>
              </w:rPr>
            </w:pPr>
            <w:r>
              <w:rPr>
                <w:b/>
                <w:sz w:val="18"/>
                <w:szCs w:val="18"/>
              </w:rPr>
              <w:t xml:space="preserve">Secundario</w:t>
            </w:r>
          </w:p>
        </w:tc>
        <w:tc>
          <w:tcPr>
            <w:tcW w:w="2337" w:type="dxa"/>
            <w:shd w:val="clear" w:fill="EDF2F8"/>
            <w:vAlign w:val="top"/>
          </w:tcPr>
          <w:p>
            <w:pPr>
              <w:spacing w:before="40" w:after="40"/>
              <w:rPr>
                <w:sz w:val="18"/>
              </w:rPr>
            </w:pPr>
            <w:r>
              <w:rPr>
                <w:b/>
                <w:sz w:val="18"/>
                <w:szCs w:val="18"/>
              </w:rPr>
              <w:t xml:space="preserve">Fundamento</w:t>
            </w:r>
          </w:p>
        </w:tc>
      </w:tr>
      <w:tr>
        <w:trPr>
          <w:cantSplit/>
        </w:trPr>
        <w:tc>
          <w:tcPr>
            <w:tcW w:w="2337" w:type="dxa"/>
            <w:vAlign w:val="top"/>
          </w:tcPr>
          <w:p>
            <w:pPr>
              <w:spacing w:before="40" w:after="40"/>
              <w:rPr>
                <w:sz w:val="18"/>
              </w:rPr>
            </w:pPr>
            <w:r>
              <w:rPr>
                <w:sz w:val="18"/>
                <w:szCs w:val="18"/>
              </w:rPr>
              <w:t xml:space="preserve">Recuperación ante desastres</w:t>
            </w:r>
          </w:p>
        </w:tc>
        <w:tc>
          <w:tcPr>
            <w:tcW w:w="2337" w:type="dxa"/>
            <w:vAlign w:val="top"/>
          </w:tcPr>
          <w:p>
            <w:pPr>
              <w:spacing w:before="40" w:after="40"/>
              <w:rPr>
                <w:sz w:val="18"/>
              </w:rPr>
            </w:pPr>
            <w:r>
              <w:rPr>
                <w:sz w:val="18"/>
                <w:szCs w:val="18"/>
              </w:rPr>
              <w:t xml:space="preserve">Azure Chile Central, multizona</w:t>
            </w:r>
          </w:p>
        </w:tc>
        <w:tc>
          <w:tcPr>
            <w:tcW w:w="2337" w:type="dxa"/>
            <w:vAlign w:val="top"/>
          </w:tcPr>
          <w:p>
            <w:pPr>
              <w:spacing w:before="40" w:after="40"/>
              <w:rPr>
                <w:sz w:val="18"/>
              </w:rPr>
            </w:pPr>
            <w:r>
              <w:rPr>
                <w:b/>
                <w:sz w:val="18"/>
                <w:szCs w:val="18"/>
              </w:rPr>
              <w:t xml:space="preserve">Segunda región Azure</w:t>
            </w:r>
          </w:p>
        </w:tc>
        <w:tc>
          <w:tcPr>
            <w:tcW w:w="2337" w:type="dxa"/>
            <w:vAlign w:val="top"/>
          </w:tcPr>
          <w:p>
            <w:pPr>
              <w:spacing w:before="40" w:after="40"/>
              <w:rPr>
                <w:sz w:val="18"/>
              </w:rPr>
            </w:pPr>
            <w:r>
              <w:rPr>
                <w:sz w:val="18"/>
                <w:szCs w:val="18"/>
              </w:rPr>
              <w:t xml:space="preserve">RT-07.02 exige distancia suficiente para no compartir el evento de fuerza mayor; </w:t>
            </w:r>
            <w:r>
              <w:rPr>
                <w:b/>
                <w:sz w:val="18"/>
                <w:szCs w:val="18"/>
              </w:rPr>
              <w:t xml:space="preserve">Art. 16.3 obliga a declarar región primaria y secundaria</w:t>
            </w:r>
          </w:p>
        </w:tc>
      </w:tr>
      <w:tr>
        <w:trPr>
          <w:cantSplit/>
        </w:trPr>
        <w:tc>
          <w:tcPr>
            <w:tcW w:w="2337" w:type="dxa"/>
            <w:vAlign w:val="top"/>
          </w:tcPr>
          <w:p>
            <w:pPr>
              <w:spacing w:before="40" w:after="40"/>
              <w:rPr>
                <w:sz w:val="18"/>
              </w:rPr>
            </w:pPr>
            <w:r>
              <w:rPr>
                <w:sz w:val="18"/>
                <w:szCs w:val="18"/>
              </w:rPr>
              <w:t xml:space="preserve">Continuidad operacional</w:t>
            </w:r>
          </w:p>
        </w:tc>
        <w:tc>
          <w:tcPr>
            <w:tcW w:w="2337" w:type="dxa"/>
            <w:vAlign w:val="top"/>
          </w:tcPr>
          <w:p>
            <w:pPr>
              <w:spacing w:before="40" w:after="40"/>
              <w:rPr>
                <w:sz w:val="18"/>
              </w:rPr>
            </w:pPr>
            <w:r>
              <w:rPr>
                <w:sz w:val="18"/>
                <w:szCs w:val="18"/>
              </w:rPr>
              <w:t xml:space="preserve">Azure</w:t>
            </w:r>
          </w:p>
        </w:tc>
        <w:tc>
          <w:tcPr>
            <w:tcW w:w="2337" w:type="dxa"/>
            <w:vAlign w:val="top"/>
          </w:tcPr>
          <w:p>
            <w:pPr>
              <w:spacing w:before="40" w:after="40"/>
              <w:rPr>
                <w:sz w:val="18"/>
              </w:rPr>
            </w:pPr>
            <w:r>
              <w:rPr>
                <w:b/>
                <w:sz w:val="18"/>
                <w:szCs w:val="18"/>
              </w:rPr>
              <w:t xml:space="preserve">San Bernardo</w:t>
            </w:r>
          </w:p>
        </w:tc>
        <w:tc>
          <w:tcPr>
            <w:tcW w:w="2337" w:type="dxa"/>
            <w:vAlign w:val="top"/>
          </w:tcPr>
          <w:p>
            <w:pPr>
              <w:spacing w:before="40" w:after="40"/>
              <w:rPr>
                <w:sz w:val="18"/>
              </w:rPr>
            </w:pPr>
            <w:r>
              <w:rPr>
                <w:sz w:val="18"/>
                <w:szCs w:val="18"/>
              </w:rPr>
              <w:t xml:space="preserve">RT-21.06: asignar viaje, emitir DET y recibir pánico son severidad máxima</w:t>
            </w:r>
          </w:p>
        </w:tc>
      </w:tr>
    </w:tbl>
    <w:p>
      <w:pPr>
        <w:spacing w:before="0" w:after="100"/>
      </w:pPr>
    </w:p>
    <w:p>
      <w:pPr>
        <w:spacing w:before="0" w:after="140" w:line="264" w:lineRule="auto"/>
      </w:pPr>
      <w:r>
        <w:rPr>
          <w:b/>
        </w:rPr>
        <w:t xml:space="preserve">Dimensionamiento derivado</w:t>
      </w:r>
      <w:r>
        <w:t xml:space="preserve"> (Cap. 14.2 exige estimarlo y advierte que «valores sin derivación se evaluará como dimensionamiento no realizado»):</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3116"/>
        <w:gridCol w:w="3116"/>
        <w:gridCol w:w="3116"/>
      </w:tblGrid>
      <w:tr>
        <w:trPr>
          <w:tblHeader/>
          <w:cantSplit/>
        </w:trPr>
        <w:tc>
          <w:tcPr>
            <w:tcW w:w="3116" w:type="dxa"/>
            <w:shd w:val="clear" w:fill="EDF2F8"/>
            <w:vAlign w:val="top"/>
          </w:tcPr>
          <w:p>
            <w:pPr>
              <w:spacing w:before="40" w:after="40"/>
              <w:rPr>
                <w:sz w:val="18"/>
              </w:rPr>
            </w:pPr>
            <w:r>
              <w:rPr>
                <w:b/>
                <w:sz w:val="18"/>
                <w:szCs w:val="18"/>
              </w:rPr>
              <w:t xml:space="preserve">Magnitud</w:t>
            </w:r>
          </w:p>
        </w:tc>
        <w:tc>
          <w:tcPr>
            <w:tcW w:w="3116" w:type="dxa"/>
            <w:shd w:val="clear" w:fill="EDF2F8"/>
            <w:vAlign w:val="top"/>
          </w:tcPr>
          <w:p>
            <w:pPr>
              <w:spacing w:before="40" w:after="40"/>
              <w:rPr>
                <w:sz w:val="18"/>
              </w:rPr>
            </w:pPr>
            <w:r>
              <w:rPr>
                <w:b/>
                <w:sz w:val="18"/>
                <w:szCs w:val="18"/>
              </w:rPr>
              <w:t xml:space="preserve">Valor</w:t>
            </w:r>
          </w:p>
        </w:tc>
        <w:tc>
          <w:tcPr>
            <w:tcW w:w="3116" w:type="dxa"/>
            <w:shd w:val="clear" w:fill="EDF2F8"/>
            <w:vAlign w:val="top"/>
          </w:tcPr>
          <w:p>
            <w:pPr>
              <w:spacing w:before="40" w:after="40"/>
              <w:rPr>
                <w:sz w:val="18"/>
              </w:rPr>
            </w:pPr>
            <w:r>
              <w:rPr>
                <w:b/>
                <w:sz w:val="18"/>
                <w:szCs w:val="18"/>
              </w:rPr>
              <w:t xml:space="preserve">Supuestos</w:t>
            </w:r>
          </w:p>
        </w:tc>
      </w:tr>
      <w:tr>
        <w:trPr>
          <w:cantSplit/>
        </w:trPr>
        <w:tc>
          <w:tcPr>
            <w:tcW w:w="3116" w:type="dxa"/>
            <w:vAlign w:val="top"/>
          </w:tcPr>
          <w:p>
            <w:pPr>
              <w:spacing w:before="40" w:after="40"/>
              <w:rPr>
                <w:sz w:val="18"/>
              </w:rPr>
            </w:pPr>
            <w:r>
              <w:rPr>
                <w:sz w:val="18"/>
                <w:szCs w:val="18"/>
              </w:rPr>
              <w:t xml:space="preserve">Volumen en buffer tras 72 h</w:t>
            </w:r>
          </w:p>
        </w:tc>
        <w:tc>
          <w:tcPr>
            <w:tcW w:w="3116" w:type="dxa"/>
            <w:vAlign w:val="top"/>
          </w:tcPr>
          <w:p>
            <w:pPr>
              <w:spacing w:before="40" w:after="40"/>
              <w:rPr>
                <w:sz w:val="18"/>
              </w:rPr>
            </w:pPr>
            <w:r>
              <w:rPr>
                <w:sz w:val="18"/>
                <w:szCs w:val="18"/>
              </w:rPr>
              <w:t xml:space="preserve">≈0,8 MB sin imágenes · ≈3,2 MB con evidencia fotográfica</w:t>
            </w:r>
          </w:p>
        </w:tc>
        <w:tc>
          <w:tcPr>
            <w:tcW w:w="3116" w:type="dxa"/>
            <w:vAlign w:val="top"/>
          </w:tcPr>
          <w:p>
            <w:pPr>
              <w:spacing w:before="40" w:after="40"/>
              <w:rPr>
                <w:sz w:val="18"/>
              </w:rPr>
            </w:pPr>
            <w:r>
              <w:rPr>
                <w:sz w:val="18"/>
                <w:szCs w:val="18"/>
              </w:rPr>
              <w:t xml:space="preserve">55 km/h, 64 B por posición, 40 KB por DET, 300 KB por foto</w:t>
            </w:r>
          </w:p>
        </w:tc>
      </w:tr>
      <w:tr>
        <w:trPr>
          <w:cantSplit/>
        </w:trPr>
        <w:tc>
          <w:tcPr>
            <w:tcW w:w="3116" w:type="dxa"/>
            <w:vAlign w:val="top"/>
          </w:tcPr>
          <w:p>
            <w:pPr>
              <w:spacing w:before="40" w:after="40"/>
              <w:rPr>
                <w:sz w:val="18"/>
              </w:rPr>
            </w:pPr>
            <w:r>
              <w:rPr>
                <w:b/>
                <w:sz w:val="18"/>
                <w:szCs w:val="18"/>
              </w:rPr>
              <w:t xml:space="preserve">Especificación de almacenamiento</w:t>
            </w:r>
          </w:p>
        </w:tc>
        <w:tc>
          <w:tcPr>
            <w:tcW w:w="3116" w:type="dxa"/>
            <w:vAlign w:val="top"/>
          </w:tcPr>
          <w:p>
            <w:pPr>
              <w:spacing w:before="40" w:after="40"/>
              <w:rPr>
                <w:sz w:val="18"/>
              </w:rPr>
            </w:pPr>
            <w:r>
              <w:rPr>
                <w:b/>
                <w:sz w:val="18"/>
                <w:szCs w:val="18"/>
              </w:rPr>
              <w:t xml:space="preserve">≥ 8 GB no volátil</w:t>
            </w:r>
          </w:p>
        </w:tc>
        <w:tc>
          <w:tcPr>
            <w:tcW w:w="3116" w:type="dxa"/>
            <w:vAlign w:val="top"/>
          </w:tcPr>
          <w:p>
            <w:pPr>
              <w:spacing w:before="40" w:after="40"/>
              <w:rPr>
                <w:sz w:val="18"/>
              </w:rPr>
            </w:pPr>
            <w:r>
              <w:rPr>
                <w:sz w:val="18"/>
                <w:szCs w:val="18"/>
              </w:rPr>
              <w:t xml:space="preserve">Cubre las 72 h de RT-03.10 </w:t>
            </w:r>
            <w:r>
              <w:rPr>
                <w:b/>
                <w:sz w:val="18"/>
                <w:szCs w:val="18"/>
              </w:rPr>
              <w:t xml:space="preserve">y los 12 días</w:t>
            </w:r>
            <w:r>
              <w:rPr>
                <w:sz w:val="18"/>
                <w:szCs w:val="18"/>
              </w:rPr>
              <w:t xml:space="preserve"> de cierre de Los Libertadores (RT-10.05)</w:t>
            </w:r>
          </w:p>
        </w:tc>
      </w:tr>
      <w:tr>
        <w:trPr>
          <w:cantSplit/>
        </w:trPr>
        <w:tc>
          <w:tcPr>
            <w:tcW w:w="3116" w:type="dxa"/>
            <w:vAlign w:val="top"/>
          </w:tcPr>
          <w:p>
            <w:pPr>
              <w:spacing w:before="40" w:after="40"/>
              <w:rPr>
                <w:sz w:val="18"/>
              </w:rPr>
            </w:pPr>
            <w:r>
              <w:rPr>
                <w:sz w:val="18"/>
                <w:szCs w:val="18"/>
              </w:rPr>
              <w:t xml:space="preserve">Datos móviles por camión</w:t>
            </w:r>
          </w:p>
        </w:tc>
        <w:tc>
          <w:tcPr>
            <w:tcW w:w="3116" w:type="dxa"/>
            <w:vAlign w:val="top"/>
          </w:tcPr>
          <w:p>
            <w:pPr>
              <w:spacing w:before="40" w:after="40"/>
              <w:rPr>
                <w:sz w:val="18"/>
              </w:rPr>
            </w:pPr>
            <w:r>
              <w:rPr>
                <w:sz w:val="18"/>
                <w:szCs w:val="18"/>
              </w:rPr>
              <w:t xml:space="preserve">13–16 MB/mes</w:t>
            </w:r>
          </w:p>
        </w:tc>
        <w:tc>
          <w:tcPr>
            <w:tcW w:w="3116" w:type="dxa"/>
            <w:vAlign w:val="top"/>
          </w:tcPr>
          <w:p>
            <w:pPr>
              <w:spacing w:before="40" w:after="40"/>
              <w:rPr>
                <w:sz w:val="18"/>
              </w:rPr>
            </w:pPr>
            <w:r>
              <w:rPr>
                <w:sz w:val="18"/>
                <w:szCs w:val="18"/>
              </w:rPr>
              <w:t xml:space="preserve">Muestreo 30 s marcha / 5 min detenido</w:t>
            </w:r>
          </w:p>
        </w:tc>
      </w:tr>
      <w:tr>
        <w:trPr>
          <w:cantSplit/>
        </w:trPr>
        <w:tc>
          <w:tcPr>
            <w:tcW w:w="3116" w:type="dxa"/>
            <w:vAlign w:val="top"/>
          </w:tcPr>
          <w:p>
            <w:pPr>
              <w:spacing w:before="40" w:after="40"/>
              <w:rPr>
                <w:sz w:val="18"/>
              </w:rPr>
            </w:pPr>
            <w:r>
              <w:rPr>
                <w:sz w:val="18"/>
                <w:szCs w:val="18"/>
              </w:rPr>
              <w:t xml:space="preserve">Datos móviles de la flota</w:t>
            </w:r>
          </w:p>
        </w:tc>
        <w:tc>
          <w:tcPr>
            <w:tcW w:w="3116" w:type="dxa"/>
            <w:vAlign w:val="top"/>
          </w:tcPr>
          <w:p>
            <w:pPr>
              <w:spacing w:before="40" w:after="40"/>
              <w:rPr>
                <w:sz w:val="18"/>
              </w:rPr>
            </w:pPr>
            <w:r>
              <w:rPr>
                <w:sz w:val="18"/>
                <w:szCs w:val="18"/>
              </w:rPr>
              <w:t xml:space="preserve">≈5,6 GB/mes</w:t>
            </w:r>
          </w:p>
        </w:tc>
        <w:tc>
          <w:tcPr>
            <w:tcW w:w="3116" w:type="dxa"/>
            <w:vAlign w:val="top"/>
          </w:tcPr>
          <w:p>
            <w:pPr>
              <w:spacing w:before="40" w:after="40"/>
              <w:rPr>
                <w:sz w:val="18"/>
              </w:rPr>
            </w:pPr>
            <w:r>
              <w:rPr>
                <w:sz w:val="18"/>
                <w:szCs w:val="18"/>
              </w:rPr>
              <w:t xml:space="preserve">374 unidades</w:t>
            </w:r>
          </w:p>
        </w:tc>
      </w:tr>
    </w:tbl>
    <w:p>
      <w:pPr>
        <w:spacing w:before="0" w:after="100"/>
      </w:pPr>
    </w:p>
    <w:p>
      <w:pPr>
        <w:spacing w:before="0" w:after="140" w:line="264" w:lineRule="auto"/>
      </w:pPr>
      <w:r>
        <w:rPr>
          <w:b/>
        </w:rPr>
        <w:t xml:space="preserve">El hallazgo económico:</w:t>
      </w:r>
      <w:r>
        <w:t xml:space="preserve"> el costo recurrente no está dominado por el tráfico de datos sino por los </w:t>
      </w:r>
      <w:r>
        <w:rPr>
          <w:b/>
        </w:rPr>
        <w:t xml:space="preserve">cargos fijos por unidad</w:t>
      </w:r>
      <w:r>
        <w:t xml:space="preserve"> —SIM, suscripción de plataforma, satelital y por OEM—, que escalan con las 374 y luego con las 430.</w:t>
      </w:r>
    </w:p>
    <w:p>
      <w:pPr>
        <w:spacing w:before="0" w:after="140" w:line="264" w:lineRule="auto"/>
      </w:pPr>
      <w:r>
        <w:rPr>
          <w:b/>
        </w:rPr>
        <w:t xml:space="preserve">Conectividad por capas:</w:t>
      </w:r>
    </w:p>
    <w:p>
      <w:pPr>
        <w:ind w:left="340"/>
        <w:spacing w:before="20" w:after="60"/>
      </w:pPr>
      <w:r>
        <w:t xml:space="preserve">•  </w:t>
      </w:r>
      <w:r>
        <w:rPr>
          <w:b/>
        </w:rPr>
        <w:t xml:space="preserve">Capa 0 · todas las unidades intervenidas:</w:t>
      </w:r>
      <w:r>
        <w:t xml:space="preserve"> almacenamiento local. RT-03.10 está escrito sobre</w:t>
      </w:r>
    </w:p>
    <w:p>
      <w:pPr>
        <w:spacing w:before="0" w:after="140" w:line="264" w:lineRule="auto"/>
      </w:pPr>
      <w:r>
        <w:t xml:space="preserve">la cobertura móvil, así que </w:t>
      </w:r>
      <w:r>
        <w:rPr>
          <w:b/>
        </w:rPr>
        <w:t xml:space="preserve">el satélite no releva de este requisito</w:t>
      </w:r>
      <w:r>
        <w:t xml:space="preserve">; además el enlace de ráfaga corta no transporta documentos ni evidencia detallada.</w:t>
      </w:r>
    </w:p>
    <w:p>
      <w:pPr>
        <w:ind w:left="340"/>
        <w:spacing w:before="20" w:after="60"/>
      </w:pPr>
      <w:r>
        <w:t xml:space="preserve">•  </w:t>
      </w:r>
      <w:r>
        <w:rPr>
          <w:b/>
        </w:rPr>
        <w:t xml:space="preserve">Capa 1 · todas las unidades intervenidas:</w:t>
      </w:r>
      <w:r>
        <w:t xml:space="preserve"> celular como portador primario.</w:t>
      </w:r>
    </w:p>
    <w:p>
      <w:pPr>
        <w:ind w:left="340"/>
        <w:spacing w:before="20" w:after="60"/>
      </w:pPr>
      <w:r>
        <w:t xml:space="preserve">•  </w:t>
      </w:r>
      <w:r>
        <w:rPr>
          <w:b/>
        </w:rPr>
        <w:t xml:space="preserve">Capa 2 · subconjunto acotado por riesgo:</w:t>
      </w:r>
      <w:r>
        <w:t xml:space="preserve"> satelital de ráfaga corta. **La población no es</w:t>
      </w:r>
    </w:p>
    <w:p>
      <w:pPr>
        <w:spacing w:before="0" w:after="140" w:line="264" w:lineRule="auto"/>
      </w:pPr>
      <w:r>
        <w:t xml:space="preserve">estimable hoy**: RT-03.24 del Caso prohíbe suponer la cobertura y exige medirla en terreno.</w:t>
      </w:r>
    </w:p>
    <w:p>
      <w:pPr>
        <w:ind w:left="340"/>
        <w:spacing w:before="20" w:after="60"/>
      </w:pPr>
      <w:r>
        <w:t xml:space="preserve">•  </w:t>
      </w:r>
      <w:r>
        <w:rPr>
          <w:b/>
        </w:rPr>
        <w:t xml:space="preserve">Descartada:</w:t>
      </w:r>
      <w:r>
        <w:t xml:space="preserve"> banda ancha satelital para toda la flota. Va al ADR (RT-02.04).</w:t>
      </w:r>
    </w:p>
    <w:p>
      <w:pPr>
        <w:pBdr>
          <w:bottom w:val="single" w:sz="6" w:space="1" w:color="C8D2DE"/>
        </w:pBdr>
        <w:spacing w:before="160" w:after="160"/>
      </w:pPr>
    </w:p>
    <w:p>
      <w:pPr>
        <w:pStyle w:val="Heading1"/>
        <w:keepNext/>
        <w:spacing w:before="320" w:after="120"/>
      </w:pPr>
      <w:r>
        <w:t xml:space="preserve">6 · Debe presentar potenciales Innovaciones</w:t>
      </w:r>
    </w:p>
    <w:p>
      <w:pPr>
        <w:spacing w:before="0" w:after="140" w:line="264" w:lineRule="auto"/>
      </w:pPr>
      <w:r>
        <w:rPr>
          <w:b/>
        </w:rPr>
        <w:t xml:space="preserve">Artículo 28°: cinco innovaciones, una por cada tipo obligatorio, sin repetir tipo.</w:t>
      </w:r>
      <w:r>
        <w:t xml:space="preserve"> El T-22 advierte que «en ningún caso puede presentarse sólo el título»: cada una se desarrolla en idea, tecnología, alcance, forma de implementación y resultados esperados, con los siete elementos del Artículo 29° en el Formulario T-19.</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2337"/>
        <w:gridCol w:w="2337"/>
        <w:gridCol w:w="2337"/>
        <w:gridCol w:w="2337"/>
      </w:tblGrid>
      <w:tr>
        <w:trPr>
          <w:tblHeader/>
          <w:cantSplit/>
        </w:trPr>
        <w:tc>
          <w:tcPr>
            <w:tcW w:w="2337" w:type="dxa"/>
            <w:shd w:val="clear" w:fill="EDF2F8"/>
            <w:vAlign w:val="top"/>
          </w:tcPr>
          <w:p>
            <w:pPr>
              <w:spacing w:before="40" w:after="40"/>
              <w:rPr>
                <w:sz w:val="18"/>
              </w:rPr>
            </w:pPr>
            <w:r>
              <w:rPr>
                <w:b/>
                <w:sz w:val="18"/>
                <w:szCs w:val="18"/>
              </w:rPr>
              <w:t xml:space="preserve">Tipo</w:t>
            </w:r>
          </w:p>
        </w:tc>
        <w:tc>
          <w:tcPr>
            <w:tcW w:w="2337" w:type="dxa"/>
            <w:shd w:val="clear" w:fill="EDF2F8"/>
            <w:vAlign w:val="top"/>
          </w:tcPr>
          <w:p>
            <w:pPr>
              <w:spacing w:before="40" w:after="40"/>
              <w:rPr>
                <w:sz w:val="18"/>
              </w:rPr>
            </w:pPr>
            <w:r>
              <w:rPr>
                <w:b/>
                <w:sz w:val="18"/>
                <w:szCs w:val="18"/>
              </w:rPr>
              <w:t xml:space="preserve">Categoría</w:t>
            </w:r>
          </w:p>
        </w:tc>
        <w:tc>
          <w:tcPr>
            <w:tcW w:w="2337" w:type="dxa"/>
            <w:shd w:val="clear" w:fill="EDF2F8"/>
            <w:vAlign w:val="top"/>
          </w:tcPr>
          <w:p>
            <w:pPr>
              <w:spacing w:before="40" w:after="40"/>
              <w:rPr>
                <w:sz w:val="18"/>
              </w:rPr>
            </w:pPr>
            <w:r>
              <w:rPr>
                <w:b/>
                <w:sz w:val="18"/>
                <w:szCs w:val="18"/>
              </w:rPr>
              <w:t xml:space="preserve">Dupla</w:t>
            </w:r>
          </w:p>
        </w:tc>
        <w:tc>
          <w:tcPr>
            <w:tcW w:w="2337" w:type="dxa"/>
            <w:shd w:val="clear" w:fill="EDF2F8"/>
            <w:vAlign w:val="top"/>
          </w:tcPr>
          <w:p>
            <w:pPr>
              <w:spacing w:before="40" w:after="40"/>
              <w:rPr>
                <w:sz w:val="18"/>
              </w:rPr>
            </w:pPr>
            <w:r>
              <w:rPr>
                <w:b/>
                <w:sz w:val="18"/>
                <w:szCs w:val="18"/>
              </w:rPr>
              <w:t xml:space="preserve">Terreno</w:t>
            </w:r>
          </w:p>
        </w:tc>
      </w:tr>
      <w:tr>
        <w:trPr>
          <w:cantSplit/>
        </w:trPr>
        <w:tc>
          <w:tcPr>
            <w:tcW w:w="2337" w:type="dxa"/>
            <w:vAlign w:val="top"/>
          </w:tcPr>
          <w:p>
            <w:pPr>
              <w:spacing w:before="40" w:after="40"/>
              <w:rPr>
                <w:sz w:val="18"/>
              </w:rPr>
            </w:pPr>
            <w:r>
              <w:rPr>
                <w:b/>
                <w:sz w:val="18"/>
                <w:szCs w:val="18"/>
              </w:rPr>
              <w:t xml:space="preserve">1</w:t>
            </w:r>
          </w:p>
        </w:tc>
        <w:tc>
          <w:tcPr>
            <w:tcW w:w="2337" w:type="dxa"/>
            <w:vAlign w:val="top"/>
          </w:tcPr>
          <w:p>
            <w:pPr>
              <w:spacing w:before="40" w:after="40"/>
              <w:rPr>
                <w:sz w:val="18"/>
              </w:rPr>
            </w:pPr>
            <w:r>
              <w:rPr>
                <w:sz w:val="18"/>
                <w:szCs w:val="18"/>
              </w:rPr>
              <w:t xml:space="preserve">Producto o servicio</w:t>
            </w:r>
          </w:p>
        </w:tc>
        <w:tc>
          <w:tcPr>
            <w:tcW w:w="2337" w:type="dxa"/>
            <w:vAlign w:val="top"/>
          </w:tcPr>
          <w:p>
            <w:pPr>
              <w:spacing w:before="40" w:after="40"/>
              <w:rPr>
                <w:sz w:val="18"/>
              </w:rPr>
            </w:pPr>
            <w:r>
              <w:rPr>
                <w:sz w:val="18"/>
                <w:szCs w:val="18"/>
              </w:rPr>
              <w:t xml:space="preserve">D2</w:t>
            </w:r>
          </w:p>
        </w:tc>
        <w:tc>
          <w:tcPr>
            <w:tcW w:w="2337" w:type="dxa"/>
            <w:vAlign w:val="top"/>
          </w:tcPr>
          <w:p>
            <w:pPr>
              <w:spacing w:before="40" w:after="40"/>
              <w:rPr>
                <w:sz w:val="18"/>
              </w:rPr>
            </w:pPr>
            <w:r>
              <w:rPr>
                <w:sz w:val="18"/>
                <w:szCs w:val="18"/>
              </w:rPr>
              <w:t xml:space="preserve">Portal del transportista con viajes y liquidación en curso</w:t>
            </w:r>
          </w:p>
        </w:tc>
      </w:tr>
      <w:tr>
        <w:trPr>
          <w:cantSplit/>
        </w:trPr>
        <w:tc>
          <w:tcPr>
            <w:tcW w:w="2337" w:type="dxa"/>
            <w:vAlign w:val="top"/>
          </w:tcPr>
          <w:p>
            <w:pPr>
              <w:spacing w:before="40" w:after="40"/>
              <w:rPr>
                <w:sz w:val="18"/>
              </w:rPr>
            </w:pPr>
            <w:r>
              <w:rPr>
                <w:b/>
                <w:sz w:val="18"/>
                <w:szCs w:val="18"/>
              </w:rPr>
              <w:t xml:space="preserve">2</w:t>
            </w:r>
          </w:p>
        </w:tc>
        <w:tc>
          <w:tcPr>
            <w:tcW w:w="2337" w:type="dxa"/>
            <w:vAlign w:val="top"/>
          </w:tcPr>
          <w:p>
            <w:pPr>
              <w:spacing w:before="40" w:after="40"/>
              <w:rPr>
                <w:sz w:val="18"/>
              </w:rPr>
            </w:pPr>
            <w:r>
              <w:rPr>
                <w:sz w:val="18"/>
                <w:szCs w:val="18"/>
              </w:rPr>
              <w:t xml:space="preserve">Proceso</w:t>
            </w:r>
          </w:p>
        </w:tc>
        <w:tc>
          <w:tcPr>
            <w:tcW w:w="2337" w:type="dxa"/>
            <w:vAlign w:val="top"/>
          </w:tcPr>
          <w:p>
            <w:pPr>
              <w:spacing w:before="40" w:after="40"/>
              <w:rPr>
                <w:sz w:val="18"/>
              </w:rPr>
            </w:pPr>
            <w:r>
              <w:rPr>
                <w:b/>
                <w:sz w:val="18"/>
                <w:szCs w:val="18"/>
              </w:rPr>
              <w:t xml:space="preserve">D4</w:t>
            </w:r>
          </w:p>
        </w:tc>
        <w:tc>
          <w:tcPr>
            <w:tcW w:w="2337" w:type="dxa"/>
            <w:vAlign w:val="top"/>
          </w:tcPr>
          <w:p>
            <w:pPr>
              <w:spacing w:before="40" w:after="40"/>
              <w:rPr>
                <w:sz w:val="18"/>
              </w:rPr>
            </w:pPr>
            <w:r>
              <w:rPr>
                <w:sz w:val="18"/>
                <w:szCs w:val="18"/>
              </w:rPr>
              <w:t xml:space="preserve">Despliegue camión por camión con ventana de 6 días; actualización remota del parque</w:t>
            </w:r>
          </w:p>
        </w:tc>
      </w:tr>
      <w:tr>
        <w:trPr>
          <w:cantSplit/>
        </w:trPr>
        <w:tc>
          <w:tcPr>
            <w:tcW w:w="2337" w:type="dxa"/>
            <w:vAlign w:val="top"/>
          </w:tcPr>
          <w:p>
            <w:pPr>
              <w:spacing w:before="40" w:after="40"/>
              <w:rPr>
                <w:sz w:val="18"/>
              </w:rPr>
            </w:pPr>
            <w:r>
              <w:rPr>
                <w:b/>
                <w:sz w:val="18"/>
                <w:szCs w:val="18"/>
              </w:rPr>
              <w:t xml:space="preserve">3</w:t>
            </w:r>
          </w:p>
        </w:tc>
        <w:tc>
          <w:tcPr>
            <w:tcW w:w="2337" w:type="dxa"/>
            <w:vAlign w:val="top"/>
          </w:tcPr>
          <w:p>
            <w:pPr>
              <w:spacing w:before="40" w:after="40"/>
              <w:rPr>
                <w:sz w:val="18"/>
              </w:rPr>
            </w:pPr>
            <w:r>
              <w:rPr>
                <w:sz w:val="18"/>
                <w:szCs w:val="18"/>
              </w:rPr>
              <w:t xml:space="preserve">Tecnológica / arquitectura</w:t>
            </w:r>
          </w:p>
        </w:tc>
        <w:tc>
          <w:tcPr>
            <w:tcW w:w="2337" w:type="dxa"/>
            <w:vAlign w:val="top"/>
          </w:tcPr>
          <w:p>
            <w:pPr>
              <w:spacing w:before="40" w:after="40"/>
              <w:rPr>
                <w:sz w:val="18"/>
              </w:rPr>
            </w:pPr>
            <w:r>
              <w:rPr>
                <w:b/>
                <w:sz w:val="18"/>
                <w:szCs w:val="18"/>
              </w:rPr>
              <w:t xml:space="preserve">D3</w:t>
            </w:r>
          </w:p>
        </w:tc>
        <w:tc>
          <w:tcPr>
            <w:tcW w:w="2337" w:type="dxa"/>
            <w:vAlign w:val="top"/>
          </w:tcPr>
          <w:p>
            <w:pPr>
              <w:spacing w:before="40" w:after="40"/>
              <w:rPr>
                <w:sz w:val="18"/>
              </w:rPr>
            </w:pPr>
            <w:r>
              <w:rPr>
                <w:sz w:val="18"/>
                <w:szCs w:val="18"/>
              </w:rPr>
              <w:t xml:space="preserve">Operación desconectada 72 h y unificación de las tres plataformas GPS</w:t>
            </w:r>
          </w:p>
        </w:tc>
      </w:tr>
      <w:tr>
        <w:trPr>
          <w:cantSplit/>
        </w:trPr>
        <w:tc>
          <w:tcPr>
            <w:tcW w:w="2337" w:type="dxa"/>
            <w:vAlign w:val="top"/>
          </w:tcPr>
          <w:p>
            <w:pPr>
              <w:spacing w:before="40" w:after="40"/>
              <w:rPr>
                <w:sz w:val="18"/>
              </w:rPr>
            </w:pPr>
            <w:r>
              <w:rPr>
                <w:b/>
                <w:sz w:val="18"/>
                <w:szCs w:val="18"/>
              </w:rPr>
              <w:t xml:space="preserve">4</w:t>
            </w:r>
          </w:p>
        </w:tc>
        <w:tc>
          <w:tcPr>
            <w:tcW w:w="2337" w:type="dxa"/>
            <w:vAlign w:val="top"/>
          </w:tcPr>
          <w:p>
            <w:pPr>
              <w:spacing w:before="40" w:after="40"/>
              <w:rPr>
                <w:sz w:val="18"/>
              </w:rPr>
            </w:pPr>
            <w:r>
              <w:rPr>
                <w:sz w:val="18"/>
                <w:szCs w:val="18"/>
              </w:rPr>
              <w:t xml:space="preserve">Modelo de negocio o contratación</w:t>
            </w:r>
          </w:p>
        </w:tc>
        <w:tc>
          <w:tcPr>
            <w:tcW w:w="2337" w:type="dxa"/>
            <w:vAlign w:val="top"/>
          </w:tcPr>
          <w:p>
            <w:pPr>
              <w:spacing w:before="40" w:after="40"/>
              <w:rPr>
                <w:sz w:val="18"/>
              </w:rPr>
            </w:pPr>
            <w:r>
              <w:rPr>
                <w:b/>
                <w:sz w:val="18"/>
                <w:szCs w:val="18"/>
              </w:rPr>
              <w:t xml:space="preserve">⚠ en disputa</w:t>
            </w:r>
          </w:p>
        </w:tc>
        <w:tc>
          <w:tcPr>
            <w:tcW w:w="2337" w:type="dxa"/>
            <w:vAlign w:val="top"/>
          </w:tcPr>
          <w:p>
            <w:pPr>
              <w:spacing w:before="40" w:after="40"/>
              <w:rPr>
                <w:sz w:val="18"/>
              </w:rPr>
            </w:pPr>
            <w:r>
              <w:rPr>
                <w:sz w:val="18"/>
                <w:szCs w:val="18"/>
              </w:rPr>
              <w:t xml:space="preserve">Quién paga el dispositivo, consentimiento revocable, incentivos por adhesión</w:t>
            </w:r>
          </w:p>
        </w:tc>
      </w:tr>
      <w:tr>
        <w:trPr>
          <w:cantSplit/>
        </w:trPr>
        <w:tc>
          <w:tcPr>
            <w:tcW w:w="2337" w:type="dxa"/>
            <w:vAlign w:val="top"/>
          </w:tcPr>
          <w:p>
            <w:pPr>
              <w:spacing w:before="40" w:after="40"/>
              <w:rPr>
                <w:sz w:val="18"/>
              </w:rPr>
            </w:pPr>
            <w:r>
              <w:rPr>
                <w:b/>
                <w:sz w:val="18"/>
                <w:szCs w:val="18"/>
              </w:rPr>
              <w:t xml:space="preserve">5</w:t>
            </w:r>
          </w:p>
        </w:tc>
        <w:tc>
          <w:tcPr>
            <w:tcW w:w="2337" w:type="dxa"/>
            <w:vAlign w:val="top"/>
          </w:tcPr>
          <w:p>
            <w:pPr>
              <w:spacing w:before="40" w:after="40"/>
              <w:rPr>
                <w:sz w:val="18"/>
              </w:rPr>
            </w:pPr>
            <w:r>
              <w:rPr>
                <w:sz w:val="18"/>
                <w:szCs w:val="18"/>
              </w:rPr>
              <w:t xml:space="preserve">UX / sostenibilidad / impacto social</w:t>
            </w:r>
          </w:p>
        </w:tc>
        <w:tc>
          <w:tcPr>
            <w:tcW w:w="2337" w:type="dxa"/>
            <w:vAlign w:val="top"/>
          </w:tcPr>
          <w:p>
            <w:pPr>
              <w:spacing w:before="40" w:after="40"/>
              <w:rPr>
                <w:sz w:val="18"/>
              </w:rPr>
            </w:pPr>
            <w:r>
              <w:rPr>
                <w:b/>
                <w:sz w:val="18"/>
                <w:szCs w:val="18"/>
              </w:rPr>
              <w:t xml:space="preserve">⚠ sin dueño efectivo</w:t>
            </w:r>
          </w:p>
        </w:tc>
        <w:tc>
          <w:tcPr>
            <w:tcW w:w="2337" w:type="dxa"/>
            <w:vAlign w:val="top"/>
          </w:tcPr>
          <w:p>
            <w:pPr>
              <w:spacing w:before="40" w:after="40"/>
              <w:rPr>
                <w:sz w:val="18"/>
              </w:rPr>
            </w:pPr>
            <w:r>
              <w:rPr>
                <w:sz w:val="18"/>
                <w:szCs w:val="18"/>
              </w:rPr>
              <w:t xml:space="preserve">Interfaz con guantes sin interacción en marcha; alerta de jornada</w:t>
            </w:r>
          </w:p>
        </w:tc>
      </w:tr>
    </w:tbl>
    <w:p>
      <w:pPr>
        <w:spacing w:before="0" w:after="100"/>
      </w:pPr>
    </w:p>
    <w:p>
      <w:pPr>
        <w:shd w:val="clear" w:fill="FDF3F3"/>
        <w:pBdr>
          <w:left w:val="single" w:sz="18" w:space="8" w:color="D98A8A"/>
        </w:pBdr>
        <w:ind w:left="200"/>
        <w:spacing w:before="100" w:after="140"/>
      </w:pPr>
      <w:r>
        <w:rPr>
          <w:sz w:val="21"/>
          <w:szCs w:val="21"/>
        </w:rPr>
        <w:t xml:space="preserve">⚠ </w:t>
      </w:r>
      <w:r>
        <w:rPr>
          <w:b/>
          <w:sz w:val="21"/>
          <w:szCs w:val="21"/>
        </w:rPr>
        <w:t xml:space="preserve">Ver §7.1: los tipos 4 y 5 tienen un conflicto de asignación sin resolver.</w:t>
      </w:r>
      <w:r>
        <w:rPr>
          <w:sz w:val="21"/>
          <w:szCs w:val="21"/>
        </w:rPr>
        <w:t xml:space="preserve"> Es el riesgo más caro de este informe.</w:t>
      </w:r>
    </w:p>
    <w:p>
      <w:pPr>
        <w:pStyle w:val="Heading2"/>
        <w:keepNext/>
        <w:spacing w:before="260" w:after="100"/>
      </w:pPr>
      <w:r>
        <w:t xml:space="preserve">Innovación tipo 3 — D3 · Operación desconectada 72 h y unificación GPS</w:t>
      </w:r>
    </w:p>
    <w:p>
      <w:pPr>
        <w:ind w:left="340"/>
        <w:spacing w:before="20" w:after="60"/>
      </w:pPr>
      <w:r>
        <w:t xml:space="preserve">•  </w:t>
      </w:r>
      <w:r>
        <w:rPr>
          <w:b/>
        </w:rPr>
        <w:t xml:space="preserve">Problema:</w:t>
      </w:r>
      <w:r>
        <w:t xml:space="preserve"> 41 millones de km al año con tramos de más de 80 km sin cobertura; 34 camiones sin</w:t>
      </w:r>
    </w:p>
    <w:p>
      <w:pPr>
        <w:spacing w:before="0" w:after="140" w:line="264" w:lineRule="auto"/>
      </w:pPr>
      <w:r>
        <w:t xml:space="preserve">GPS y 340 en tres plataformas incompatibles, una sin exportación por API.</w:t>
      </w:r>
    </w:p>
    <w:p>
      <w:pPr>
        <w:ind w:left="340"/>
        <w:spacing w:before="20" w:after="60"/>
      </w:pPr>
      <w:r>
        <w:t xml:space="preserve">•  </w:t>
      </w:r>
      <w:r>
        <w:rPr>
          <w:b/>
        </w:rPr>
        <w:t xml:space="preserve">Tecnología:</w:t>
      </w:r>
      <w:r>
        <w:t xml:space="preserve"> arquitectura </w:t>
      </w:r>
      <w:r>
        <w:rPr>
          <w:i/>
        </w:rPr>
        <w:t xml:space="preserve">edge-to-cloud</w:t>
      </w:r>
      <w:r>
        <w:t xml:space="preserve"> con </w:t>
      </w:r>
      <w:r>
        <w:rPr>
          <w:i/>
        </w:rPr>
        <w:t xml:space="preserve">store-and-forward</w:t>
      </w:r>
      <w:r>
        <w:t xml:space="preserve"> tolerante a partición de</w:t>
      </w:r>
    </w:p>
    <w:p>
      <w:pPr>
        <w:spacing w:before="0" w:after="140" w:line="264" w:lineRule="auto"/>
      </w:pPr>
      <w:r>
        <w:t xml:space="preserve">red; almacenamiento local cifrado; capa de ingestión telemática unificada; emisión de DET en sombra con folios CAF pre-asignados.</w:t>
      </w:r>
    </w:p>
    <w:p>
      <w:pPr>
        <w:ind w:left="340"/>
        <w:spacing w:before="20" w:after="60"/>
      </w:pPr>
      <w:r>
        <w:t xml:space="preserve">•  </w:t>
      </w:r>
      <w:r>
        <w:rPr>
          <w:b/>
        </w:rPr>
        <w:t xml:space="preserve">Madurez:</w:t>
      </w:r>
      <w:r>
        <w:t xml:space="preserve"> TRL 8/9.</w:t>
      </w:r>
    </w:p>
    <w:p>
      <w:pPr>
        <w:ind w:left="340"/>
        <w:spacing w:before="20" w:after="60"/>
      </w:pPr>
      <w:r>
        <w:t xml:space="preserve">•  </w:t>
      </w:r>
      <w:r>
        <w:rPr>
          <w:b/>
        </w:rPr>
        <w:t xml:space="preserve">Indicador:</w:t>
      </w:r>
      <w:r>
        <w:t xml:space="preserve"> 100 % de eventos recuperados tras 72 h sin pérdida; 100 % de la flota en una</w:t>
      </w:r>
    </w:p>
    <w:p>
      <w:pPr>
        <w:spacing w:before="0" w:after="140" w:line="264" w:lineRule="auto"/>
      </w:pPr>
      <w:r>
        <w:t xml:space="preserve">única torre; sincronización bajo el umbral de 20 min del Cap. 15.</w:t>
      </w:r>
    </w:p>
    <w:p>
      <w:pPr>
        <w:pStyle w:val="Heading2"/>
        <w:keepNext/>
        <w:spacing w:before="260" w:after="100"/>
      </w:pPr>
      <w:r>
        <w:t xml:space="preserve">Innovación tipo 2 — D4 · Despliegue sin detener la flota</w:t>
      </w:r>
    </w:p>
    <w:p>
      <w:pPr>
        <w:ind w:left="340"/>
        <w:spacing w:before="20" w:after="60"/>
      </w:pPr>
      <w:r>
        <w:t xml:space="preserve">•  </w:t>
      </w:r>
      <w:r>
        <w:rPr>
          <w:b/>
        </w:rPr>
        <w:t xml:space="preserve">Problema:</w:t>
      </w:r>
      <w:r>
        <w:t xml:space="preserve"> un camión detenido no produce (restricción 10); pasa por terminal cada 6 días y</w:t>
      </w:r>
    </w:p>
    <w:p>
      <w:pPr>
        <w:spacing w:before="0" w:after="140" w:line="264" w:lineRule="auto"/>
      </w:pPr>
      <w:r>
        <w:rPr>
          <w:b/>
        </w:rPr>
        <w:t xml:space="preserve">el 22 % de la flota subcontratada pasa menos de una vez al mes</w:t>
      </w:r>
      <w:r>
        <w:t xml:space="preserve">; la flota rueda 24×7×365 sin ventana de detención, con congelamientos de diciembre a abril, Semana Santa, Fiestas Patrias y los nueve días del cierre de liquidaciones (RT-10.05).</w:t>
      </w:r>
    </w:p>
    <w:p>
      <w:pPr>
        <w:ind w:left="340"/>
        <w:spacing w:before="20" w:after="60"/>
      </w:pPr>
      <w:r>
        <w:t xml:space="preserve">•  </w:t>
      </w:r>
      <w:r>
        <w:rPr>
          <w:b/>
        </w:rPr>
        <w:t xml:space="preserve">Idea:</w:t>
      </w:r>
      <w:r>
        <w:t xml:space="preserve"> convertir el paso fortuito por terminal en **ventana de intervención planificada y</w:t>
      </w:r>
    </w:p>
    <w:p>
      <w:pPr>
        <w:spacing w:before="0" w:after="140" w:line="264" w:lineRule="auto"/>
      </w:pPr>
      <w:r>
        <w:t xml:space="preserve">acotada**, mediante preconfiguración total del dispositivo antes de que el camión llegue —el numeral 8.4 exige stock de reemplazo con configuración precargada—, de modo que la intervención física sea </w:t>
      </w:r>
      <w:r>
        <w:rPr>
          <w:i/>
        </w:rPr>
        <w:t xml:space="preserve">sustituir y salir</w:t>
      </w:r>
      <w:r>
        <w:t xml:space="preserve"> y todo el ciclo de vida restante ocurra por aire.</w:t>
      </w:r>
    </w:p>
    <w:p>
      <w:pPr>
        <w:ind w:left="340"/>
        <w:spacing w:before="20" w:after="60"/>
      </w:pPr>
      <w:r>
        <w:t xml:space="preserve">•  </w:t>
      </w:r>
      <w:r>
        <w:rPr>
          <w:b/>
        </w:rPr>
        <w:t xml:space="preserve">Indicador:</w:t>
      </w:r>
      <w:r>
        <w:t xml:space="preserve"> unidades intervenidas por mes y tiempo de inmovilización por unidad.</w:t>
      </w:r>
    </w:p>
    <w:p>
      <w:pPr>
        <w:pBdr>
          <w:bottom w:val="single" w:sz="6" w:space="1" w:color="C8D2DE"/>
        </w:pBdr>
        <w:spacing w:before="160" w:after="160"/>
      </w:pPr>
    </w:p>
    <w:p>
      <w:pPr>
        <w:pStyle w:val="Heading1"/>
        <w:keepNext/>
        <w:spacing w:before="320" w:after="120"/>
      </w:pPr>
      <w:r>
        <w:t xml:space="preserve">7 · Auditoría de consistencia entre duplas</w:t>
      </w:r>
    </w:p>
    <w:p>
      <w:pPr>
        <w:spacing w:before="0" w:after="140" w:line="264" w:lineRule="auto"/>
      </w:pPr>
      <w:r>
        <w:t xml:space="preserve">Verificado con </w:t>
      </w:r>
      <w:r>
        <w:rPr>
          <w:rFonts w:ascii="Consolas" w:hAnsi="Consolas"/>
          <w:color w:val="5B21B6"/>
          <w:sz w:val="20"/>
          <w:szCs w:val="20"/>
          <w:shd w:val="clear" w:fill="F1F4F8"/>
        </w:rPr>
        <w:t xml:space="preserve">tools/buscar.py</w:t>
      </w:r>
      <w:r>
        <w:t xml:space="preserve"> contra las tres bases. </w:t>
      </w:r>
      <w:r>
        <w:rPr>
          <w:b/>
        </w:rPr>
        <w:t xml:space="preserve">Esto es lo que hay que corregir antes de la entrega.</w:t>
      </w:r>
    </w:p>
    <w:p>
      <w:pPr>
        <w:pStyle w:val="Heading2"/>
        <w:keepNext/>
        <w:spacing w:before="260" w:after="100"/>
      </w:pPr>
      <w:r>
        <w:t xml:space="preserve">7.1 ⛔ Las innovaciones tipo 4 y 5 no tienen dueño único</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3116"/>
        <w:gridCol w:w="3116"/>
        <w:gridCol w:w="3116"/>
      </w:tblGrid>
      <w:tr>
        <w:trPr>
          <w:tblHeader/>
          <w:cantSplit/>
        </w:trPr>
        <w:tc>
          <w:tcPr>
            <w:tcW w:w="3116" w:type="dxa"/>
            <w:shd w:val="clear" w:fill="EDF2F8"/>
            <w:vAlign w:val="top"/>
          </w:tcPr>
          <w:p>
            <w:pPr>
              <w:spacing w:before="40" w:after="40"/>
              <w:rPr>
                <w:sz w:val="18"/>
              </w:rPr>
            </w:pPr>
            <w:r>
              <w:rPr>
                <w:b/>
                <w:sz w:val="18"/>
                <w:szCs w:val="18"/>
              </w:rPr>
              <w:t xml:space="preserve">Fuente</w:t>
            </w:r>
          </w:p>
        </w:tc>
        <w:tc>
          <w:tcPr>
            <w:tcW w:w="3116" w:type="dxa"/>
            <w:shd w:val="clear" w:fill="EDF2F8"/>
            <w:vAlign w:val="top"/>
          </w:tcPr>
          <w:p>
            <w:pPr>
              <w:spacing w:before="40" w:after="40"/>
              <w:rPr>
                <w:sz w:val="18"/>
              </w:rPr>
            </w:pPr>
            <w:r>
              <w:rPr>
                <w:b/>
                <w:sz w:val="18"/>
                <w:szCs w:val="18"/>
              </w:rPr>
              <w:t xml:space="preserve">Tipo 4</w:t>
            </w:r>
          </w:p>
        </w:tc>
        <w:tc>
          <w:tcPr>
            <w:tcW w:w="3116" w:type="dxa"/>
            <w:shd w:val="clear" w:fill="EDF2F8"/>
            <w:vAlign w:val="top"/>
          </w:tcPr>
          <w:p>
            <w:pPr>
              <w:spacing w:before="40" w:after="40"/>
              <w:rPr>
                <w:sz w:val="18"/>
              </w:rPr>
            </w:pPr>
            <w:r>
              <w:rPr>
                <w:b/>
                <w:sz w:val="18"/>
                <w:szCs w:val="18"/>
              </w:rPr>
              <w:t xml:space="preserve">Tipo 5</w:t>
            </w:r>
          </w:p>
        </w:tc>
      </w:tr>
      <w:tr>
        <w:trPr>
          <w:cantSplit/>
        </w:trPr>
        <w:tc>
          <w:tcPr>
            <w:tcW w:w="3116" w:type="dxa"/>
            <w:vAlign w:val="top"/>
          </w:tcPr>
          <w:p>
            <w:pPr>
              <w:spacing w:before="40" w:after="40"/>
              <w:rPr>
                <w:sz w:val="18"/>
              </w:rPr>
            </w:pPr>
            <w:r>
              <w:rPr>
                <w:rFonts w:ascii="Consolas" w:hAnsi="Consolas"/>
                <w:color w:val="5B21B6"/>
                <w:sz w:val="16"/>
                <w:szCs w:val="16"/>
                <w:shd w:val="clear" w:fill="F1F4F8"/>
              </w:rPr>
              <w:t xml:space="preserve">equipo/asignacion-duplas.md</w:t>
            </w:r>
            <w:r>
              <w:rPr>
                <w:sz w:val="18"/>
                <w:szCs w:val="18"/>
              </w:rPr>
              <w:t xml:space="preserve"> (archivo oficial del equipo)</w:t>
            </w:r>
          </w:p>
        </w:tc>
        <w:tc>
          <w:tcPr>
            <w:tcW w:w="3116" w:type="dxa"/>
            <w:vAlign w:val="top"/>
          </w:tcPr>
          <w:p>
            <w:pPr>
              <w:spacing w:before="40" w:after="40"/>
              <w:rPr>
                <w:sz w:val="18"/>
              </w:rPr>
            </w:pPr>
            <w:r>
              <w:rPr>
                <w:b/>
                <w:sz w:val="18"/>
                <w:szCs w:val="18"/>
              </w:rPr>
              <w:t xml:space="preserve">D1</w:t>
            </w:r>
          </w:p>
        </w:tc>
        <w:tc>
          <w:tcPr>
            <w:tcW w:w="3116" w:type="dxa"/>
            <w:vAlign w:val="top"/>
          </w:tcPr>
          <w:p>
            <w:pPr>
              <w:spacing w:before="40" w:after="40"/>
              <w:rPr>
                <w:sz w:val="18"/>
              </w:rPr>
            </w:pPr>
            <w:r>
              <w:rPr>
                <w:b/>
                <w:sz w:val="18"/>
                <w:szCs w:val="18"/>
              </w:rPr>
              <w:t xml:space="preserve">D2</w:t>
            </w:r>
          </w:p>
        </w:tc>
      </w:tr>
      <w:tr>
        <w:trPr>
          <w:cantSplit/>
        </w:trPr>
        <w:tc>
          <w:tcPr>
            <w:tcW w:w="3116" w:type="dxa"/>
            <w:vAlign w:val="top"/>
          </w:tcPr>
          <w:p>
            <w:pPr>
              <w:spacing w:before="40" w:after="40"/>
              <w:rPr>
                <w:sz w:val="18"/>
              </w:rPr>
            </w:pPr>
            <w:r>
              <w:rPr>
                <w:rFonts w:ascii="Consolas" w:hAnsi="Consolas"/>
                <w:color w:val="5B21B6"/>
                <w:sz w:val="16"/>
                <w:szCs w:val="16"/>
                <w:shd w:val="clear" w:fill="F1F4F8"/>
              </w:rPr>
              <w:t xml:space="preserve">equipo/D2/plan-trabajo-d2-v2.md</w:t>
            </w:r>
          </w:p>
        </w:tc>
        <w:tc>
          <w:tcPr>
            <w:tcW w:w="3116" w:type="dxa"/>
            <w:vAlign w:val="top"/>
          </w:tcPr>
          <w:p>
            <w:pPr>
              <w:spacing w:before="40" w:after="40"/>
              <w:rPr>
                <w:sz w:val="18"/>
              </w:rPr>
            </w:pPr>
            <w:r>
              <w:rPr>
                <w:b/>
                <w:sz w:val="18"/>
                <w:szCs w:val="18"/>
              </w:rPr>
              <w:t xml:space="preserve">D2</w:t>
            </w:r>
            <w:r>
              <w:rPr>
                <w:sz w:val="18"/>
                <w:szCs w:val="18"/>
              </w:rPr>
              <w:t xml:space="preserve"> (entregable D2-10, responsable Matías V., con fecha)</w:t>
            </w:r>
          </w:p>
        </w:tc>
        <w:tc>
          <w:tcPr>
            <w:tcW w:w="3116" w:type="dxa"/>
            <w:vAlign w:val="top"/>
          </w:tcPr>
          <w:p>
            <w:pPr>
              <w:spacing w:before="40" w:after="40"/>
              <w:rPr>
                <w:sz w:val="18"/>
              </w:rPr>
            </w:pPr>
            <w:r>
              <w:rPr>
                <w:sz w:val="18"/>
                <w:szCs w:val="18"/>
              </w:rPr>
              <w:t xml:space="preserve">D1</w:t>
            </w:r>
          </w:p>
        </w:tc>
      </w:tr>
      <w:tr>
        <w:trPr>
          <w:cantSplit/>
        </w:trPr>
        <w:tc>
          <w:tcPr>
            <w:tcW w:w="3116" w:type="dxa"/>
            <w:vAlign w:val="top"/>
          </w:tcPr>
          <w:p>
            <w:pPr>
              <w:spacing w:before="40" w:after="40"/>
              <w:rPr>
                <w:sz w:val="18"/>
              </w:rPr>
            </w:pPr>
            <w:r>
              <w:rPr>
                <w:sz w:val="18"/>
                <w:szCs w:val="18"/>
              </w:rPr>
              <w:t xml:space="preserve">Archivos de D1</w:t>
            </w:r>
          </w:p>
        </w:tc>
        <w:tc>
          <w:tcPr>
            <w:tcW w:w="3116" w:type="dxa"/>
            <w:vAlign w:val="top"/>
          </w:tcPr>
          <w:p>
            <w:pPr>
              <w:spacing w:before="40" w:after="40"/>
              <w:rPr>
                <w:sz w:val="18"/>
              </w:rPr>
            </w:pPr>
            <w:r>
              <w:rPr>
                <w:i/>
                <w:sz w:val="18"/>
                <w:szCs w:val="18"/>
              </w:rPr>
              <w:t xml:space="preserve">sin ninguna mención a innovaciones</w:t>
            </w:r>
          </w:p>
        </w:tc>
        <w:tc>
          <w:tcPr>
            <w:tcW w:w="3116" w:type="dxa"/>
            <w:vAlign w:val="top"/>
          </w:tcPr>
          <w:p>
            <w:pPr>
              <w:spacing w:before="40" w:after="40"/>
              <w:rPr>
                <w:sz w:val="18"/>
              </w:rPr>
            </w:pPr>
            <w:r>
              <w:rPr>
                <w:i/>
                <w:sz w:val="18"/>
                <w:szCs w:val="18"/>
              </w:rPr>
              <w:t xml:space="preserve">sin mención</w:t>
            </w:r>
          </w:p>
        </w:tc>
      </w:tr>
    </w:tbl>
    <w:p>
      <w:pPr>
        <w:spacing w:before="0" w:after="100"/>
      </w:pPr>
    </w:p>
    <w:p>
      <w:pPr>
        <w:spacing w:before="0" w:after="140" w:line="264" w:lineRule="auto"/>
      </w:pPr>
      <w:r>
        <w:rPr>
          <w:b/>
        </w:rPr>
        <w:t xml:space="preserve">Dos documentos internos se contradicen, D2 tiene la tipo 4 en su cronograma con responsable asignado, y D1 no ha escrito nada sobre innovaciones.</w:t>
      </w:r>
      <w:r>
        <w:t xml:space="preserve"> El resultado probable es que </w:t>
      </w:r>
      <w:r>
        <w:rPr>
          <w:b/>
        </w:rPr>
        <w:t xml:space="preserve">la ficha tipo 5 no se escriba</w:t>
      </w:r>
      <w:r>
        <w:t xml:space="preserve">. El Artículo 28° exige las cinco, una por tipo. Una ficha faltante es un hueco directo en el 17 % del informe.</w:t>
      </w:r>
    </w:p>
    <w:p>
      <w:pPr>
        <w:spacing w:before="0" w:after="140" w:line="264" w:lineRule="auto"/>
      </w:pPr>
      <w:r>
        <w:t xml:space="preserve">→ </w:t>
      </w:r>
      <w:r>
        <w:rPr>
          <w:b/>
        </w:rPr>
        <w:t xml:space="preserve">Acción: resolverlo hoy y actualizar `asignacion-duplas.md` para que quede una sola fuente.</w:t>
      </w:r>
    </w:p>
    <w:p>
      <w:pPr>
        <w:pStyle w:val="Heading2"/>
        <w:keepNext/>
        <w:spacing w:before="260" w:after="100"/>
      </w:pPr>
      <w:r>
        <w:t xml:space="preserve">7.2 Errores puntuales detectados en </w:t>
      </w:r>
      <w:r>
        <w:rPr>
          <w:rFonts w:ascii="Consolas" w:hAnsi="Consolas"/>
          <w:color w:val="5B21B6"/>
          <w:sz w:val="20"/>
          <w:szCs w:val="20"/>
          <w:shd w:val="clear" w:fill="F1F4F8"/>
        </w:rPr>
        <w:t xml:space="preserve">Para_D4.md</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3116"/>
        <w:gridCol w:w="3116"/>
        <w:gridCol w:w="3116"/>
      </w:tblGrid>
      <w:tr>
        <w:trPr>
          <w:tblHeader/>
          <w:cantSplit/>
        </w:trPr>
        <w:tc>
          <w:tcPr>
            <w:tcW w:w="3116" w:type="dxa"/>
            <w:shd w:val="clear" w:fill="EDF2F8"/>
            <w:vAlign w:val="top"/>
          </w:tcPr>
          <w:p>
            <w:pPr>
              <w:spacing w:before="40" w:after="40"/>
              <w:rPr>
                <w:sz w:val="18"/>
              </w:rPr>
            </w:pPr>
            <w:r>
              <w:rPr>
                <w:b/>
                <w:sz w:val="18"/>
                <w:szCs w:val="18"/>
              </w:rPr>
              <w:t xml:space="preserve">Punto</w:t>
            </w:r>
          </w:p>
        </w:tc>
        <w:tc>
          <w:tcPr>
            <w:tcW w:w="3116" w:type="dxa"/>
            <w:shd w:val="clear" w:fill="EDF2F8"/>
            <w:vAlign w:val="top"/>
          </w:tcPr>
          <w:p>
            <w:pPr>
              <w:spacing w:before="40" w:after="40"/>
              <w:rPr>
                <w:sz w:val="18"/>
              </w:rPr>
            </w:pPr>
            <w:r>
              <w:rPr>
                <w:b/>
                <w:sz w:val="18"/>
                <w:szCs w:val="18"/>
              </w:rPr>
              <w:t xml:space="preserve">Dice</w:t>
            </w:r>
          </w:p>
        </w:tc>
        <w:tc>
          <w:tcPr>
            <w:tcW w:w="3116" w:type="dxa"/>
            <w:shd w:val="clear" w:fill="EDF2F8"/>
            <w:vAlign w:val="top"/>
          </w:tcPr>
          <w:p>
            <w:pPr>
              <w:spacing w:before="40" w:after="40"/>
              <w:rPr>
                <w:sz w:val="18"/>
              </w:rPr>
            </w:pPr>
            <w:r>
              <w:rPr>
                <w:b/>
                <w:sz w:val="18"/>
                <w:szCs w:val="18"/>
              </w:rPr>
              <w:t xml:space="preserve">Debe decir</w:t>
            </w:r>
          </w:p>
        </w:tc>
      </w:tr>
      <w:tr>
        <w:trPr>
          <w:cantSplit/>
        </w:trPr>
        <w:tc>
          <w:tcPr>
            <w:tcW w:w="3116" w:type="dxa"/>
            <w:vAlign w:val="top"/>
          </w:tcPr>
          <w:p>
            <w:pPr>
              <w:spacing w:before="40" w:after="40"/>
              <w:rPr>
                <w:sz w:val="18"/>
              </w:rPr>
            </w:pPr>
            <w:r>
              <w:rPr>
                <w:sz w:val="18"/>
                <w:szCs w:val="18"/>
              </w:rPr>
              <w:t xml:space="preserve">Código del buffer</w:t>
            </w:r>
          </w:p>
        </w:tc>
        <w:tc>
          <w:tcPr>
            <w:tcW w:w="3116" w:type="dxa"/>
            <w:vAlign w:val="top"/>
          </w:tcPr>
          <w:p>
            <w:pPr>
              <w:spacing w:before="40" w:after="40"/>
              <w:rPr>
                <w:sz w:val="18"/>
              </w:rPr>
            </w:pPr>
            <w:r>
              <w:rPr>
                <w:sz w:val="18"/>
                <w:szCs w:val="18"/>
              </w:rPr>
              <w:t xml:space="preserve">«las 72 h de desconexión (</w:t>
            </w:r>
            <w:r>
              <w:rPr>
                <w:b/>
                <w:sz w:val="18"/>
                <w:szCs w:val="18"/>
              </w:rPr>
              <w:t xml:space="preserve">RT-03.13</w:t>
            </w:r>
            <w:r>
              <w:rPr>
                <w:sz w:val="18"/>
                <w:szCs w:val="18"/>
              </w:rPr>
              <w:t xml:space="preserve">)»</w:t>
            </w:r>
          </w:p>
        </w:tc>
        <w:tc>
          <w:tcPr>
            <w:tcW w:w="3116" w:type="dxa"/>
            <w:vAlign w:val="top"/>
          </w:tcPr>
          <w:p>
            <w:pPr>
              <w:spacing w:before="40" w:after="40"/>
              <w:rPr>
                <w:sz w:val="18"/>
              </w:rPr>
            </w:pPr>
            <w:r>
              <w:rPr>
                <w:sz w:val="18"/>
                <w:szCs w:val="18"/>
              </w:rPr>
              <w:t xml:space="preserve">Las 72 h son </w:t>
            </w:r>
            <w:r>
              <w:rPr>
                <w:b/>
                <w:sz w:val="18"/>
                <w:szCs w:val="18"/>
              </w:rPr>
              <w:t xml:space="preserve">RT-03.10</w:t>
            </w:r>
            <w:r>
              <w:rPr>
                <w:sz w:val="18"/>
                <w:szCs w:val="18"/>
              </w:rPr>
              <w:t xml:space="preserve">. RT-03.13 es la declaración de funciones NO disponibles sin conexión</w:t>
            </w:r>
          </w:p>
        </w:tc>
      </w:tr>
      <w:tr>
        <w:trPr>
          <w:cantSplit/>
        </w:trPr>
        <w:tc>
          <w:tcPr>
            <w:tcW w:w="3116" w:type="dxa"/>
            <w:vAlign w:val="top"/>
          </w:tcPr>
          <w:p>
            <w:pPr>
              <w:spacing w:before="40" w:after="40"/>
              <w:rPr>
                <w:sz w:val="18"/>
              </w:rPr>
            </w:pPr>
            <w:r>
              <w:rPr>
                <w:sz w:val="18"/>
                <w:szCs w:val="18"/>
              </w:rPr>
              <w:t xml:space="preserve">Wi-Fi de descarga</w:t>
            </w:r>
          </w:p>
        </w:tc>
        <w:tc>
          <w:tcPr>
            <w:tcW w:w="3116" w:type="dxa"/>
            <w:vAlign w:val="top"/>
          </w:tcPr>
          <w:p>
            <w:pPr>
              <w:spacing w:before="40" w:after="40"/>
              <w:rPr>
                <w:sz w:val="18"/>
              </w:rPr>
            </w:pPr>
            <w:r>
              <w:rPr>
                <w:sz w:val="18"/>
                <w:szCs w:val="18"/>
              </w:rPr>
              <w:t xml:space="preserve">«Wi-Fi en los </w:t>
            </w:r>
            <w:r>
              <w:rPr>
                <w:b/>
                <w:sz w:val="18"/>
                <w:szCs w:val="18"/>
              </w:rPr>
              <w:t xml:space="preserve">5 terminales regionales</w:t>
            </w:r>
            <w:r>
              <w:rPr>
                <w:sz w:val="18"/>
                <w:szCs w:val="18"/>
              </w:rPr>
              <w:t xml:space="preserve">»</w:t>
            </w:r>
          </w:p>
        </w:tc>
        <w:tc>
          <w:tcPr>
            <w:tcW w:w="3116" w:type="dxa"/>
            <w:vAlign w:val="top"/>
          </w:tcPr>
          <w:p>
            <w:pPr>
              <w:spacing w:before="40" w:after="40"/>
              <w:rPr>
                <w:sz w:val="18"/>
              </w:rPr>
            </w:pPr>
            <w:r>
              <w:rPr>
                <w:sz w:val="18"/>
                <w:szCs w:val="18"/>
              </w:rPr>
              <w:t xml:space="preserve">Son </w:t>
            </w:r>
            <w:r>
              <w:rPr>
                <w:b/>
                <w:sz w:val="18"/>
                <w:szCs w:val="18"/>
              </w:rPr>
              <w:t xml:space="preserve">4 regionales + San Bernardo</w:t>
            </w:r>
            <w:r>
              <w:rPr>
                <w:sz w:val="18"/>
                <w:szCs w:val="18"/>
              </w:rPr>
              <w:t xml:space="preserve"> = 5 terminales en total (FEP03 Cap. 3)</w:t>
            </w:r>
          </w:p>
        </w:tc>
      </w:tr>
      <w:tr>
        <w:trPr>
          <w:cantSplit/>
        </w:trPr>
        <w:tc>
          <w:tcPr>
            <w:tcW w:w="3116" w:type="dxa"/>
            <w:vAlign w:val="top"/>
          </w:tcPr>
          <w:p>
            <w:pPr>
              <w:spacing w:before="40" w:after="40"/>
              <w:rPr>
                <w:sz w:val="18"/>
              </w:rPr>
            </w:pPr>
            <w:r>
              <w:rPr>
                <w:sz w:val="18"/>
                <w:szCs w:val="18"/>
              </w:rPr>
              <w:t xml:space="preserve">Formato</w:t>
            </w:r>
          </w:p>
        </w:tc>
        <w:tc>
          <w:tcPr>
            <w:tcW w:w="3116" w:type="dxa"/>
            <w:vAlign w:val="top"/>
          </w:tcPr>
          <w:p>
            <w:pPr>
              <w:spacing w:before="40" w:after="40"/>
              <w:rPr>
                <w:sz w:val="18"/>
              </w:rPr>
            </w:pPr>
            <w:r>
              <w:rPr>
                <w:sz w:val="18"/>
                <w:szCs w:val="18"/>
              </w:rPr>
              <w:t xml:space="preserve">«≥8 GB≥8 GB» (dos veces) y «374 tractocamiones ×× ~41M km»</w:t>
            </w:r>
          </w:p>
        </w:tc>
        <w:tc>
          <w:tcPr>
            <w:tcW w:w="3116" w:type="dxa"/>
            <w:vAlign w:val="top"/>
          </w:tcPr>
          <w:p>
            <w:pPr>
              <w:spacing w:before="40" w:after="40"/>
              <w:rPr>
                <w:sz w:val="18"/>
              </w:rPr>
            </w:pPr>
            <w:r>
              <w:rPr>
                <w:sz w:val="18"/>
                <w:szCs w:val="18"/>
              </w:rPr>
              <w:t xml:space="preserve">Duplicación de marcado</w:t>
            </w:r>
          </w:p>
        </w:tc>
      </w:tr>
      <w:tr>
        <w:trPr>
          <w:cantSplit/>
        </w:trPr>
        <w:tc>
          <w:tcPr>
            <w:tcW w:w="3116" w:type="dxa"/>
            <w:vAlign w:val="top"/>
          </w:tcPr>
          <w:p>
            <w:pPr>
              <w:spacing w:before="40" w:after="40"/>
              <w:rPr>
                <w:sz w:val="18"/>
              </w:rPr>
            </w:pPr>
            <w:r>
              <w:rPr>
                <w:sz w:val="18"/>
                <w:szCs w:val="18"/>
              </w:rPr>
              <w:t xml:space="preserve">Notación del cálculo</w:t>
            </w:r>
          </w:p>
        </w:tc>
        <w:tc>
          <w:tcPr>
            <w:tcW w:w="3116" w:type="dxa"/>
            <w:vAlign w:val="top"/>
          </w:tcPr>
          <w:p>
            <w:pPr>
              <w:spacing w:before="40" w:after="40"/>
              <w:rPr>
                <w:sz w:val="18"/>
              </w:rPr>
            </w:pPr>
            <w:r>
              <w:rPr>
                <w:sz w:val="18"/>
                <w:szCs w:val="18"/>
              </w:rPr>
              <w:t xml:space="preserve">«374 tractocamiones × ~41M km/año»</w:t>
            </w:r>
          </w:p>
        </w:tc>
        <w:tc>
          <w:tcPr>
            <w:tcW w:w="3116" w:type="dxa"/>
            <w:vAlign w:val="top"/>
          </w:tcPr>
          <w:p>
            <w:pPr>
              <w:spacing w:before="40" w:after="40"/>
              <w:rPr>
                <w:sz w:val="18"/>
              </w:rPr>
            </w:pPr>
            <w:r>
              <w:rPr>
                <w:sz w:val="18"/>
                <w:szCs w:val="18"/>
              </w:rPr>
              <w:t xml:space="preserve">Los 41M km son el </w:t>
            </w:r>
            <w:r>
              <w:rPr>
                <w:b/>
                <w:sz w:val="18"/>
                <w:szCs w:val="18"/>
              </w:rPr>
              <w:t xml:space="preserve">total de la flota</w:t>
            </w:r>
            <w:r>
              <w:rPr>
                <w:sz w:val="18"/>
                <w:szCs w:val="18"/>
              </w:rPr>
              <w:t xml:space="preserve">, no por camión. El resultado (745.000 h) es correcto; la fórmula, no</w:t>
            </w:r>
          </w:p>
        </w:tc>
      </w:tr>
      <w:tr>
        <w:trPr>
          <w:cantSplit/>
        </w:trPr>
        <w:tc>
          <w:tcPr>
            <w:tcW w:w="3116" w:type="dxa"/>
            <w:vAlign w:val="top"/>
          </w:tcPr>
          <w:p>
            <w:pPr>
              <w:spacing w:before="40" w:after="40"/>
              <w:rPr>
                <w:sz w:val="18"/>
              </w:rPr>
            </w:pPr>
            <w:r>
              <w:rPr>
                <w:sz w:val="18"/>
                <w:szCs w:val="18"/>
              </w:rPr>
              <w:t xml:space="preserve">Pings anuales</w:t>
            </w:r>
          </w:p>
        </w:tc>
        <w:tc>
          <w:tcPr>
            <w:tcW w:w="3116" w:type="dxa"/>
            <w:vAlign w:val="top"/>
          </w:tcPr>
          <w:p>
            <w:pPr>
              <w:spacing w:before="40" w:after="40"/>
              <w:rPr>
                <w:sz w:val="18"/>
              </w:rPr>
            </w:pPr>
            <w:r>
              <w:rPr>
                <w:sz w:val="18"/>
                <w:szCs w:val="18"/>
              </w:rPr>
              <w:t xml:space="preserve">«89,4 millones de pings/año»</w:t>
            </w:r>
          </w:p>
        </w:tc>
        <w:tc>
          <w:tcPr>
            <w:tcW w:w="3116" w:type="dxa"/>
            <w:vAlign w:val="top"/>
          </w:tcPr>
          <w:p>
            <w:pPr>
              <w:spacing w:before="40" w:after="40"/>
              <w:rPr>
                <w:sz w:val="18"/>
              </w:rPr>
            </w:pPr>
            <w:r>
              <w:rPr>
                <w:sz w:val="18"/>
                <w:szCs w:val="18"/>
              </w:rPr>
              <w:t xml:space="preserve">Cuenta </w:t>
            </w:r>
            <w:r>
              <w:rPr>
                <w:b/>
                <w:sz w:val="18"/>
                <w:szCs w:val="18"/>
              </w:rPr>
              <w:t xml:space="preserve">sólo las horas de marcha</w:t>
            </w:r>
            <w:r>
              <w:rPr>
                <w:sz w:val="18"/>
                <w:szCs w:val="18"/>
              </w:rPr>
              <w:t xml:space="preserve">. Sumando el muestreo en detención (5 min) son ≈120 millones</w:t>
            </w:r>
          </w:p>
        </w:tc>
      </w:tr>
      <w:tr>
        <w:trPr>
          <w:cantSplit/>
        </w:trPr>
        <w:tc>
          <w:tcPr>
            <w:tcW w:w="3116" w:type="dxa"/>
            <w:vAlign w:val="top"/>
          </w:tcPr>
          <w:p>
            <w:pPr>
              <w:spacing w:before="40" w:after="40"/>
              <w:rPr>
                <w:sz w:val="18"/>
              </w:rPr>
            </w:pPr>
            <w:r>
              <w:rPr>
                <w:sz w:val="18"/>
                <w:szCs w:val="18"/>
              </w:rPr>
              <w:t xml:space="preserve">Concurrencia</w:t>
            </w:r>
          </w:p>
        </w:tc>
        <w:tc>
          <w:tcPr>
            <w:tcW w:w="3116" w:type="dxa"/>
            <w:vAlign w:val="top"/>
          </w:tcPr>
          <w:p>
            <w:pPr>
              <w:spacing w:before="40" w:after="40"/>
              <w:rPr>
                <w:sz w:val="18"/>
              </w:rPr>
            </w:pPr>
            <w:r>
              <w:rPr>
                <w:sz w:val="18"/>
                <w:szCs w:val="18"/>
              </w:rPr>
              <w:t xml:space="preserve">«300 a 350 sesiones pico»</w:t>
            </w:r>
          </w:p>
        </w:tc>
        <w:tc>
          <w:tcPr>
            <w:tcW w:w="3116" w:type="dxa"/>
            <w:vAlign w:val="top"/>
          </w:tcPr>
          <w:p>
            <w:pPr>
              <w:spacing w:before="40" w:after="40"/>
              <w:rPr>
                <w:sz w:val="18"/>
              </w:rPr>
            </w:pPr>
            <w:r>
              <w:rPr>
                <w:sz w:val="18"/>
                <w:szCs w:val="18"/>
              </w:rPr>
              <w:t xml:space="preserve">Sus propios componentes suman </w:t>
            </w:r>
            <w:r>
              <w:rPr>
                <w:b/>
                <w:sz w:val="18"/>
                <w:szCs w:val="18"/>
              </w:rPr>
              <w:t xml:space="preserve">230 a 380</w:t>
            </w:r>
            <w:r>
              <w:rPr>
                <w:sz w:val="18"/>
                <w:szCs w:val="18"/>
              </w:rPr>
              <w:t xml:space="preserve"> (50-80 + 100-150 + 30-50 + 50-100). El rango declarado no cuadra con su desglose</w:t>
            </w:r>
          </w:p>
        </w:tc>
      </w:tr>
    </w:tbl>
    <w:p>
      <w:pPr>
        <w:spacing w:before="0" w:after="100"/>
      </w:pPr>
    </w:p>
    <w:p>
      <w:pPr>
        <w:pStyle w:val="Heading2"/>
        <w:keepNext/>
        <w:spacing w:before="260" w:after="100"/>
      </w:pPr>
      <w:r>
        <w:t xml:space="preserve">7.3 Lo que D3 aceptó y quedó cerrado</w:t>
      </w:r>
    </w:p>
    <w:p>
      <w:pPr>
        <w:ind w:left="340"/>
        <w:spacing w:before="20" w:after="60"/>
      </w:pPr>
      <w:r>
        <w:t xml:space="preserve">•  </w:t>
      </w:r>
      <w:r>
        <w:rPr>
          <w:b/>
        </w:rPr>
        <w:t xml:space="preserve">Buffer ≥8 GB</w:t>
      </w:r>
      <w:r>
        <w:t xml:space="preserve"> en lugar de «120 horas», absorbiendo los 12 días de Los Libertadores. ✔</w:t>
      </w:r>
    </w:p>
    <w:p>
      <w:pPr>
        <w:ind w:left="340"/>
        <w:spacing w:before="20" w:after="60"/>
      </w:pPr>
      <w:r>
        <w:t xml:space="preserve">•  </w:t>
      </w:r>
      <w:r>
        <w:rPr>
          <w:b/>
        </w:rPr>
        <w:t xml:space="preserve">Partición real de la flota:</w:t>
      </w:r>
      <w:r>
        <w:t xml:space="preserve"> 148 propias + ~192 terceros con GPS + 34 sin GPS. ✔</w:t>
      </w:r>
    </w:p>
    <w:p>
      <w:pPr>
        <w:ind w:left="340"/>
        <w:spacing w:before="20" w:after="60"/>
      </w:pPr>
      <w:r>
        <w:t xml:space="preserve">•  </w:t>
      </w:r>
      <w:r>
        <w:rPr>
          <w:b/>
        </w:rPr>
        <w:t xml:space="preserve">App móvil como canal voluntario e incentivado</w:t>
      </w:r>
      <w:r>
        <w:t xml:space="preserve">, no como mecanismo del que dependa la</w:t>
      </w:r>
    </w:p>
    <w:p>
      <w:pPr>
        <w:spacing w:before="0" w:after="140" w:line="264" w:lineRule="auto"/>
      </w:pPr>
      <w:r>
        <w:t xml:space="preserve">trazabilidad (restricciones 1 y 2, RT-12.11). ✔</w:t>
      </w:r>
    </w:p>
    <w:p>
      <w:pPr>
        <w:ind w:left="340"/>
        <w:spacing w:before="20" w:after="60"/>
      </w:pPr>
      <w:r>
        <w:t xml:space="preserve">•  </w:t>
      </w:r>
      <w:r>
        <w:rPr>
          <w:b/>
        </w:rPr>
        <w:t xml:space="preserve">Capa anticorrupción anclada a RT-05.20</w:t>
      </w:r>
      <w:r>
        <w:t xml:space="preserve"> (obligatorio) con RT-02.14 como deseable. ✔</w:t>
      </w:r>
    </w:p>
    <w:p>
      <w:pPr>
        <w:pStyle w:val="Heading2"/>
        <w:keepNext/>
        <w:spacing w:before="260" w:after="100"/>
      </w:pPr>
      <w:r>
        <w:t xml:space="preserve">7.4 Supuestos de D3 que no están en las bases y deben declararse</w:t>
      </w:r>
    </w:p>
    <w:p>
      <w:pPr>
        <w:spacing w:before="0" w:after="140" w:line="264" w:lineRule="auto"/>
      </w:pPr>
      <w:r>
        <w:t xml:space="preserve">Verificado por búsqueda: </w:t>
      </w:r>
      <w:r>
        <w:rPr>
          <w:b/>
        </w:rPr>
        <w:t xml:space="preserve">no aparecen en ninguno de los tres documentos</w:t>
      </w:r>
      <w:r>
        <w:t xml:space="preserve">.</w:t>
      </w:r>
    </w:p>
    <w:p>
      <w:pPr>
        <w:ind w:left="340"/>
        <w:spacing w:before="20" w:after="60"/>
      </w:pPr>
      <w:r>
        <w:t xml:space="preserve">•  </w:t>
      </w:r>
      <w:r>
        <w:t xml:space="preserve">Precisión de geocerca de </w:t>
      </w:r>
      <w:r>
        <w:rPr>
          <w:b/>
        </w:rPr>
        <w:t xml:space="preserve">±15 m</w:t>
      </w:r>
      <w:r>
        <w:t xml:space="preserve">.</w:t>
      </w:r>
    </w:p>
    <w:p>
      <w:pPr>
        <w:ind w:left="340"/>
        <w:spacing w:before="20" w:after="60"/>
      </w:pPr>
      <w:r>
        <w:t xml:space="preserve">•  </w:t>
      </w:r>
      <w:r>
        <w:t xml:space="preserve">Las </w:t>
      </w:r>
      <w:r>
        <w:rPr>
          <w:b/>
        </w:rPr>
        <w:t xml:space="preserve">120 horas</w:t>
      </w:r>
      <w:r>
        <w:t xml:space="preserve"> de retención del buffer (ya retiradas, pero siguen en </w:t>
      </w:r>
      <w:r>
        <w:rPr>
          <w:rFonts w:ascii="Consolas" w:hAnsi="Consolas"/>
          <w:color w:val="5B21B6"/>
          <w:sz w:val="20"/>
          <w:szCs w:val="20"/>
          <w:shd w:val="clear" w:fill="F1F4F8"/>
        </w:rPr>
        <w:t xml:space="preserve">plan-de-trabajo.md</w:t>
      </w:r>
      <w:r>
        <w:t xml:space="preserve">).</w:t>
      </w:r>
    </w:p>
    <w:p>
      <w:pPr>
        <w:ind w:left="340"/>
        <w:spacing w:before="20" w:after="60"/>
      </w:pPr>
      <w:r>
        <w:t xml:space="preserve">•  </w:t>
      </w:r>
      <w:r>
        <w:rPr>
          <w:b/>
        </w:rPr>
        <w:t xml:space="preserve">Res. Ex. N.º 107/2014 del SII</w:t>
      </w:r>
      <w:r>
        <w:t xml:space="preserve"> sobre folios CAF de contingencia: sin verificar.</w:t>
      </w:r>
    </w:p>
    <w:p>
      <w:pPr>
        <w:ind w:left="340"/>
        <w:spacing w:before="20" w:after="60"/>
      </w:pPr>
      <w:r>
        <w:t xml:space="preserve">•  </w:t>
      </w:r>
      <w:r>
        <w:t xml:space="preserve">Latencia de sincronización «&lt; 15 min»: más estricta que el ≤20 min del Cap. 15. Conviene</w:t>
      </w:r>
    </w:p>
    <w:p>
      <w:pPr>
        <w:spacing w:before="0" w:after="140" w:line="264" w:lineRule="auto"/>
      </w:pPr>
      <w:r>
        <w:t xml:space="preserve">redactarlo como «se supera el umbral exigido», no como un número propio sin origen.</w:t>
      </w:r>
    </w:p>
    <w:p>
      <w:pPr>
        <w:pStyle w:val="Heading2"/>
        <w:keepNext/>
        <w:spacing w:before="260" w:after="100"/>
      </w:pPr>
      <w:r>
        <w:t xml:space="preserve">7.5 Cifras en pesos — revisión bajo el Art. 50.2</w:t>
      </w:r>
    </w:p>
    <w:p>
      <w:pPr>
        <w:spacing w:before="0" w:after="140" w:line="264" w:lineRule="auto"/>
      </w:pPr>
      <w:r>
        <w:rPr>
          <w:rFonts w:ascii="Consolas" w:hAnsi="Consolas"/>
          <w:color w:val="5B21B6"/>
          <w:sz w:val="20"/>
          <w:szCs w:val="20"/>
          <w:shd w:val="clear" w:fill="F1F4F8"/>
        </w:rPr>
        <w:t xml:space="preserve">subdoc2-problema.md</w:t>
      </w:r>
      <w:r>
        <w:t xml:space="preserve"> contiene cifras en pesos </w:t>
      </w:r>
      <w:r>
        <w:rPr>
          <w:b/>
        </w:rPr>
        <w:t xml:space="preserve">del CLIENTE</w:t>
      </w:r>
      <w:r>
        <w:t xml:space="preserve">: $78.000 millones de facturación, $7.020 M de margen, $24.180 M de contratos bajo costo, $29.640 M de pagos a terceros, $55.380 M de concentración comercial y $14.820 M del cliente del 19 %.</w:t>
      </w:r>
    </w:p>
    <w:p>
      <w:pPr>
        <w:spacing w:before="0" w:after="140" w:line="264" w:lineRule="auto"/>
      </w:pPr>
      <w:r>
        <w:rPr>
          <w:b/>
        </w:rPr>
        <w:t xml:space="preserve">Criterio aplicado:</w:t>
      </w:r>
      <w:r>
        <w:t xml:space="preserve"> el Art. 50.2 prohíbe «precios, tarifas, valores unitarios o cifra alguna que permita </w:t>
      </w:r>
      <w:r>
        <w:rPr>
          <w:b/>
        </w:rPr>
        <w:t xml:space="preserve">inferir el monto de la oferta económica</w:t>
      </w:r>
      <w:r>
        <w:t xml:space="preserve">». Ninguna de estas cifras describe la oferta de audIT; describen la situación del mandante y varias están en el propio caso. </w:t>
      </w:r>
      <w:r>
        <w:rPr>
          <w:b/>
        </w:rPr>
        <w:t xml:space="preserve">Se consideran admisibles</w:t>
      </w:r>
      <w:r>
        <w:t xml:space="preserve">, con dos precauciones: que ninguna se presente junto a un componente de la solución de forma que sugiera su costo, y que las derivadas ($7.020 M, $24.180 M, $29.640 M, $55.380 M, $14.820 M) se identifiquen como cálculo propio sobre el 9 %, el 31 % y el 71 % que entrega el caso.</w:t>
      </w:r>
    </w:p>
    <w:p>
      <w:pPr>
        <w:pStyle w:val="Heading2"/>
        <w:keepNext/>
        <w:spacing w:before="260" w:after="100"/>
      </w:pPr>
      <w:r>
        <w:t xml:space="preserve">7.6 Coherencia técnica confirmada entre D3 y D4</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2337"/>
        <w:gridCol w:w="2337"/>
        <w:gridCol w:w="2337"/>
        <w:gridCol w:w="2337"/>
      </w:tblGrid>
      <w:tr>
        <w:trPr>
          <w:tblHeader/>
          <w:cantSplit/>
        </w:trPr>
        <w:tc>
          <w:tcPr>
            <w:tcW w:w="2337" w:type="dxa"/>
            <w:shd w:val="clear" w:fill="EDF2F8"/>
            <w:vAlign w:val="top"/>
          </w:tcPr>
          <w:p>
            <w:pPr>
              <w:spacing w:before="40" w:after="40"/>
              <w:rPr>
                <w:sz w:val="18"/>
              </w:rPr>
            </w:pPr>
            <w:r>
              <w:rPr>
                <w:b/>
                <w:sz w:val="18"/>
                <w:szCs w:val="18"/>
              </w:rPr>
              <w:t xml:space="preserve">Punto</w:t>
            </w:r>
          </w:p>
        </w:tc>
        <w:tc>
          <w:tcPr>
            <w:tcW w:w="2337" w:type="dxa"/>
            <w:shd w:val="clear" w:fill="EDF2F8"/>
            <w:vAlign w:val="top"/>
          </w:tcPr>
          <w:p>
            <w:pPr>
              <w:spacing w:before="40" w:after="40"/>
              <w:rPr>
                <w:sz w:val="18"/>
              </w:rPr>
            </w:pPr>
            <w:r>
              <w:rPr>
                <w:b/>
                <w:sz w:val="18"/>
                <w:szCs w:val="18"/>
              </w:rPr>
              <w:t xml:space="preserve">D3</w:t>
            </w:r>
          </w:p>
        </w:tc>
        <w:tc>
          <w:tcPr>
            <w:tcW w:w="2337" w:type="dxa"/>
            <w:shd w:val="clear" w:fill="EDF2F8"/>
            <w:vAlign w:val="top"/>
          </w:tcPr>
          <w:p>
            <w:pPr>
              <w:spacing w:before="40" w:after="40"/>
              <w:rPr>
                <w:sz w:val="18"/>
              </w:rPr>
            </w:pPr>
            <w:r>
              <w:rPr>
                <w:b/>
                <w:sz w:val="18"/>
                <w:szCs w:val="18"/>
              </w:rPr>
              <w:t xml:space="preserve">D4</w:t>
            </w:r>
          </w:p>
        </w:tc>
        <w:tc>
          <w:tcPr>
            <w:tcW w:w="2337" w:type="dxa"/>
            <w:shd w:val="clear" w:fill="EDF2F8"/>
            <w:vAlign w:val="top"/>
          </w:tcPr>
          <w:p>
            <w:pPr>
              <w:spacing w:before="40" w:after="40"/>
              <w:rPr>
                <w:sz w:val="18"/>
              </w:rPr>
            </w:pPr>
            <w:r>
              <w:rPr>
                <w:b/>
                <w:sz w:val="18"/>
                <w:szCs w:val="18"/>
              </w:rPr>
              <w:t xml:space="preserve">Estado</w:t>
            </w:r>
          </w:p>
        </w:tc>
      </w:tr>
      <w:tr>
        <w:trPr>
          <w:cantSplit/>
        </w:trPr>
        <w:tc>
          <w:tcPr>
            <w:tcW w:w="2337" w:type="dxa"/>
            <w:vAlign w:val="top"/>
          </w:tcPr>
          <w:p>
            <w:pPr>
              <w:spacing w:before="40" w:after="40"/>
              <w:rPr>
                <w:sz w:val="18"/>
              </w:rPr>
            </w:pPr>
            <w:r>
              <w:rPr>
                <w:sz w:val="18"/>
                <w:szCs w:val="18"/>
              </w:rPr>
              <w:t xml:space="preserve">Proveedor de nube</w:t>
            </w:r>
          </w:p>
        </w:tc>
        <w:tc>
          <w:tcPr>
            <w:tcW w:w="2337" w:type="dxa"/>
            <w:vAlign w:val="top"/>
          </w:tcPr>
          <w:p>
            <w:pPr>
              <w:spacing w:before="40" w:after="40"/>
              <w:rPr>
                <w:sz w:val="18"/>
              </w:rPr>
            </w:pPr>
            <w:r>
              <w:rPr>
                <w:sz w:val="18"/>
                <w:szCs w:val="18"/>
              </w:rPr>
              <w:t xml:space="preserve">Azure (Front Door, APIM, AKS, Event Hubs, Service Bus, Key Vault, Entra ID, Monitor)</w:t>
            </w:r>
          </w:p>
        </w:tc>
        <w:tc>
          <w:tcPr>
            <w:tcW w:w="2337" w:type="dxa"/>
            <w:vAlign w:val="top"/>
          </w:tcPr>
          <w:p>
            <w:pPr>
              <w:spacing w:before="40" w:after="40"/>
              <w:rPr>
                <w:sz w:val="18"/>
              </w:rPr>
            </w:pPr>
            <w:r>
              <w:rPr>
                <w:sz w:val="18"/>
                <w:szCs w:val="18"/>
              </w:rPr>
              <w:t xml:space="preserve">Azure Chile Central, 3 zonas</w:t>
            </w:r>
          </w:p>
        </w:tc>
        <w:tc>
          <w:tcPr>
            <w:tcW w:w="2337" w:type="dxa"/>
            <w:vAlign w:val="top"/>
          </w:tcPr>
          <w:p>
            <w:pPr>
              <w:spacing w:before="40" w:after="40"/>
              <w:rPr>
                <w:sz w:val="18"/>
              </w:rPr>
            </w:pPr>
            <w:r>
              <w:rPr>
                <w:sz w:val="18"/>
                <w:szCs w:val="18"/>
              </w:rPr>
              <w:t xml:space="preserve">✔ alineado</w:t>
            </w:r>
          </w:p>
        </w:tc>
      </w:tr>
      <w:tr>
        <w:trPr>
          <w:cantSplit/>
        </w:trPr>
        <w:tc>
          <w:tcPr>
            <w:tcW w:w="2337" w:type="dxa"/>
            <w:vAlign w:val="top"/>
          </w:tcPr>
          <w:p>
            <w:pPr>
              <w:spacing w:before="40" w:after="40"/>
              <w:rPr>
                <w:sz w:val="18"/>
              </w:rPr>
            </w:pPr>
            <w:r>
              <w:rPr>
                <w:sz w:val="18"/>
                <w:szCs w:val="18"/>
              </w:rPr>
              <w:t xml:space="preserve">Frecuencia de muestreo</w:t>
            </w:r>
          </w:p>
        </w:tc>
        <w:tc>
          <w:tcPr>
            <w:tcW w:w="2337" w:type="dxa"/>
            <w:vAlign w:val="top"/>
          </w:tcPr>
          <w:p>
            <w:pPr>
              <w:spacing w:before="40" w:after="40"/>
              <w:rPr>
                <w:sz w:val="18"/>
              </w:rPr>
            </w:pPr>
            <w:r>
              <w:rPr>
                <w:sz w:val="18"/>
                <w:szCs w:val="18"/>
              </w:rPr>
              <w:t xml:space="preserve">30 s marcha / 5 min detenido</w:t>
            </w:r>
          </w:p>
        </w:tc>
        <w:tc>
          <w:tcPr>
            <w:tcW w:w="2337" w:type="dxa"/>
            <w:vAlign w:val="top"/>
          </w:tcPr>
          <w:p>
            <w:pPr>
              <w:spacing w:before="40" w:after="40"/>
              <w:rPr>
                <w:sz w:val="18"/>
              </w:rPr>
            </w:pPr>
            <w:r>
              <w:rPr>
                <w:sz w:val="18"/>
                <w:szCs w:val="18"/>
              </w:rPr>
              <w:t xml:space="preserve">Idéntico (escenario B)</w:t>
            </w:r>
          </w:p>
        </w:tc>
        <w:tc>
          <w:tcPr>
            <w:tcW w:w="2337" w:type="dxa"/>
            <w:vAlign w:val="top"/>
          </w:tcPr>
          <w:p>
            <w:pPr>
              <w:spacing w:before="40" w:after="40"/>
              <w:rPr>
                <w:sz w:val="18"/>
              </w:rPr>
            </w:pPr>
            <w:r>
              <w:rPr>
                <w:sz w:val="18"/>
                <w:szCs w:val="18"/>
              </w:rPr>
              <w:t xml:space="preserve">✔ alineado</w:t>
            </w:r>
          </w:p>
        </w:tc>
      </w:tr>
      <w:tr>
        <w:trPr>
          <w:cantSplit/>
        </w:trPr>
        <w:tc>
          <w:tcPr>
            <w:tcW w:w="2337" w:type="dxa"/>
            <w:vAlign w:val="top"/>
          </w:tcPr>
          <w:p>
            <w:pPr>
              <w:spacing w:before="40" w:after="40"/>
              <w:rPr>
                <w:sz w:val="18"/>
              </w:rPr>
            </w:pPr>
            <w:r>
              <w:rPr>
                <w:sz w:val="18"/>
                <w:szCs w:val="18"/>
              </w:rPr>
              <w:t xml:space="preserve">Buffer a bordo</w:t>
            </w:r>
          </w:p>
        </w:tc>
        <w:tc>
          <w:tcPr>
            <w:tcW w:w="2337" w:type="dxa"/>
            <w:vAlign w:val="top"/>
          </w:tcPr>
          <w:p>
            <w:pPr>
              <w:spacing w:before="40" w:after="40"/>
              <w:rPr>
                <w:sz w:val="18"/>
              </w:rPr>
            </w:pPr>
            <w:r>
              <w:rPr>
                <w:sz w:val="18"/>
                <w:szCs w:val="18"/>
              </w:rPr>
              <w:t xml:space="preserve">≥8 GB flash industrial con </w:t>
            </w:r>
            <w:r>
              <w:rPr>
                <w:i/>
                <w:sz w:val="18"/>
                <w:szCs w:val="18"/>
              </w:rPr>
              <w:t xml:space="preserve">wear-leveling</w:t>
            </w:r>
          </w:p>
        </w:tc>
        <w:tc>
          <w:tcPr>
            <w:tcW w:w="2337" w:type="dxa"/>
            <w:vAlign w:val="top"/>
          </w:tcPr>
          <w:p>
            <w:pPr>
              <w:spacing w:before="40" w:after="40"/>
              <w:rPr>
                <w:sz w:val="18"/>
              </w:rPr>
            </w:pPr>
            <w:r>
              <w:rPr>
                <w:sz w:val="18"/>
                <w:szCs w:val="18"/>
              </w:rPr>
              <w:t xml:space="preserve">≥8 GB no volátil</w:t>
            </w:r>
          </w:p>
        </w:tc>
        <w:tc>
          <w:tcPr>
            <w:tcW w:w="2337" w:type="dxa"/>
            <w:vAlign w:val="top"/>
          </w:tcPr>
          <w:p>
            <w:pPr>
              <w:spacing w:before="40" w:after="40"/>
              <w:rPr>
                <w:sz w:val="18"/>
              </w:rPr>
            </w:pPr>
            <w:r>
              <w:rPr>
                <w:sz w:val="18"/>
                <w:szCs w:val="18"/>
              </w:rPr>
              <w:t xml:space="preserve">✔ alineado</w:t>
            </w:r>
          </w:p>
        </w:tc>
      </w:tr>
      <w:tr>
        <w:trPr>
          <w:cantSplit/>
        </w:trPr>
        <w:tc>
          <w:tcPr>
            <w:tcW w:w="2337" w:type="dxa"/>
            <w:vAlign w:val="top"/>
          </w:tcPr>
          <w:p>
            <w:pPr>
              <w:spacing w:before="40" w:after="40"/>
              <w:rPr>
                <w:sz w:val="18"/>
              </w:rPr>
            </w:pPr>
            <w:r>
              <w:rPr>
                <w:sz w:val="18"/>
                <w:szCs w:val="18"/>
              </w:rPr>
              <w:t xml:space="preserve">Ocho capas</w:t>
            </w:r>
          </w:p>
        </w:tc>
        <w:tc>
          <w:tcPr>
            <w:tcW w:w="2337" w:type="dxa"/>
            <w:vAlign w:val="top"/>
          </w:tcPr>
          <w:p>
            <w:pPr>
              <w:spacing w:before="40" w:after="40"/>
              <w:rPr>
                <w:sz w:val="18"/>
              </w:rPr>
            </w:pPr>
            <w:r>
              <w:rPr>
                <w:sz w:val="18"/>
                <w:szCs w:val="18"/>
              </w:rPr>
              <w:t xml:space="preserve">Numeral 2.1 completo</w:t>
            </w:r>
          </w:p>
        </w:tc>
        <w:tc>
          <w:tcPr>
            <w:tcW w:w="2337" w:type="dxa"/>
            <w:vAlign w:val="top"/>
          </w:tcPr>
          <w:p>
            <w:pPr>
              <w:spacing w:before="40" w:after="40"/>
              <w:rPr>
                <w:sz w:val="18"/>
              </w:rPr>
            </w:pPr>
            <w:r>
              <w:rPr>
                <w:sz w:val="18"/>
                <w:szCs w:val="18"/>
              </w:rPr>
              <w:t xml:space="preserve">Matriz capa → emplazamiento</w:t>
            </w:r>
          </w:p>
        </w:tc>
        <w:tc>
          <w:tcPr>
            <w:tcW w:w="2337" w:type="dxa"/>
            <w:vAlign w:val="top"/>
          </w:tcPr>
          <w:p>
            <w:pPr>
              <w:spacing w:before="40" w:after="40"/>
              <w:rPr>
                <w:sz w:val="18"/>
              </w:rPr>
            </w:pPr>
            <w:r>
              <w:rPr>
                <w:sz w:val="18"/>
                <w:szCs w:val="18"/>
              </w:rPr>
              <w:t xml:space="preserve">✔ alineado</w:t>
            </w:r>
          </w:p>
        </w:tc>
      </w:tr>
      <w:tr>
        <w:trPr>
          <w:cantSplit/>
        </w:trPr>
        <w:tc>
          <w:tcPr>
            <w:tcW w:w="2337" w:type="dxa"/>
            <w:vAlign w:val="top"/>
          </w:tcPr>
          <w:p>
            <w:pPr>
              <w:spacing w:before="40" w:after="40"/>
              <w:rPr>
                <w:sz w:val="18"/>
              </w:rPr>
            </w:pPr>
            <w:r>
              <w:rPr>
                <w:sz w:val="18"/>
                <w:szCs w:val="18"/>
              </w:rPr>
              <w:t xml:space="preserve">Retención por dominio</w:t>
            </w:r>
          </w:p>
        </w:tc>
        <w:tc>
          <w:tcPr>
            <w:tcW w:w="2337" w:type="dxa"/>
            <w:vAlign w:val="top"/>
          </w:tcPr>
          <w:p>
            <w:pPr>
              <w:spacing w:before="40" w:after="40"/>
              <w:rPr>
                <w:sz w:val="18"/>
              </w:rPr>
            </w:pPr>
            <w:r>
              <w:rPr>
                <w:sz w:val="18"/>
                <w:szCs w:val="18"/>
              </w:rPr>
              <w:t xml:space="preserve">10a / 6a / 5a / vig.+5a / 3a / 2a en línea</w:t>
            </w:r>
          </w:p>
        </w:tc>
        <w:tc>
          <w:tcPr>
            <w:tcW w:w="2337" w:type="dxa"/>
            <w:vAlign w:val="top"/>
          </w:tcPr>
          <w:p>
            <w:pPr>
              <w:spacing w:before="40" w:after="40"/>
              <w:rPr>
                <w:sz w:val="18"/>
              </w:rPr>
            </w:pPr>
            <w:r>
              <w:rPr>
                <w:sz w:val="18"/>
                <w:szCs w:val="18"/>
              </w:rPr>
              <w:t xml:space="preserve">Misma tabla, RT-05.10</w:t>
            </w:r>
          </w:p>
        </w:tc>
        <w:tc>
          <w:tcPr>
            <w:tcW w:w="2337" w:type="dxa"/>
            <w:vAlign w:val="top"/>
          </w:tcPr>
          <w:p>
            <w:pPr>
              <w:spacing w:before="40" w:after="40"/>
              <w:rPr>
                <w:sz w:val="18"/>
              </w:rPr>
            </w:pPr>
            <w:r>
              <w:rPr>
                <w:sz w:val="18"/>
                <w:szCs w:val="18"/>
              </w:rPr>
              <w:t xml:space="preserve">✔ alineado</w:t>
            </w:r>
          </w:p>
        </w:tc>
      </w:tr>
      <w:tr>
        <w:trPr>
          <w:cantSplit/>
        </w:trPr>
        <w:tc>
          <w:tcPr>
            <w:tcW w:w="2337" w:type="dxa"/>
            <w:vAlign w:val="top"/>
          </w:tcPr>
          <w:p>
            <w:pPr>
              <w:spacing w:before="40" w:after="40"/>
              <w:rPr>
                <w:sz w:val="18"/>
              </w:rPr>
            </w:pPr>
            <w:r>
              <w:rPr>
                <w:sz w:val="18"/>
                <w:szCs w:val="18"/>
              </w:rPr>
              <w:t xml:space="preserve">RAID</w:t>
            </w:r>
          </w:p>
        </w:tc>
        <w:tc>
          <w:tcPr>
            <w:tcW w:w="2337" w:type="dxa"/>
            <w:vAlign w:val="top"/>
          </w:tcPr>
          <w:p>
            <w:pPr>
              <w:spacing w:before="40" w:after="40"/>
              <w:rPr>
                <w:sz w:val="18"/>
              </w:rPr>
            </w:pPr>
            <w:r>
              <w:rPr>
                <w:sz w:val="18"/>
                <w:szCs w:val="18"/>
              </w:rPr>
              <w:t xml:space="preserve">Propone RAID-1</w:t>
            </w:r>
          </w:p>
        </w:tc>
        <w:tc>
          <w:tcPr>
            <w:tcW w:w="2337" w:type="dxa"/>
            <w:vAlign w:val="top"/>
          </w:tcPr>
          <w:p>
            <w:pPr>
              <w:spacing w:before="40" w:after="40"/>
              <w:rPr>
                <w:sz w:val="18"/>
              </w:rPr>
            </w:pPr>
            <w:r>
              <w:rPr>
                <w:sz w:val="18"/>
                <w:szCs w:val="18"/>
              </w:rPr>
              <w:t xml:space="preserve">RT-03.14 exige </w:t>
            </w:r>
            <w:r>
              <w:rPr>
                <w:b/>
                <w:sz w:val="18"/>
                <w:szCs w:val="18"/>
              </w:rPr>
              <w:t xml:space="preserve">justificarlo frente a alternativas</w:t>
            </w:r>
            <w:r>
              <w:rPr>
                <w:sz w:val="18"/>
                <w:szCs w:val="18"/>
              </w:rPr>
              <w:t xml:space="preserve">; es entregable T-11 de D4</w:t>
            </w:r>
          </w:p>
        </w:tc>
        <w:tc>
          <w:tcPr>
            <w:tcW w:w="2337" w:type="dxa"/>
            <w:vAlign w:val="top"/>
          </w:tcPr>
          <w:p>
            <w:pPr>
              <w:spacing w:before="40" w:after="40"/>
              <w:rPr>
                <w:sz w:val="18"/>
              </w:rPr>
            </w:pPr>
            <w:r>
              <w:rPr>
                <w:sz w:val="18"/>
                <w:szCs w:val="18"/>
              </w:rPr>
              <w:t xml:space="preserve">⚠ lo redacta D4</w:t>
            </w:r>
          </w:p>
        </w:tc>
      </w:tr>
    </w:tbl>
    <w:p>
      <w:pPr>
        <w:spacing w:before="0" w:after="100"/>
      </w:pPr>
    </w:p>
    <w:p>
      <w:pPr>
        <w:pBdr>
          <w:bottom w:val="single" w:sz="6" w:space="1" w:color="C8D2DE"/>
        </w:pBdr>
        <w:spacing w:before="160" w:after="160"/>
      </w:pPr>
    </w:p>
    <w:p>
      <w:pPr>
        <w:pStyle w:val="Heading1"/>
        <w:keepNext/>
        <w:spacing w:before="320" w:after="120"/>
      </w:pPr>
      <w:r>
        <w:t xml:space="preserve">8 · Lo que falta para cerrar el Informe 1</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2337"/>
        <w:gridCol w:w="2337"/>
        <w:gridCol w:w="2337"/>
        <w:gridCol w:w="2337"/>
      </w:tblGrid>
      <w:tr>
        <w:trPr>
          <w:tblHeader/>
          <w:cantSplit/>
        </w:trPr>
        <w:tc>
          <w:tcPr>
            <w:tcW w:w="2337" w:type="dxa"/>
            <w:shd w:val="clear" w:fill="EDF2F8"/>
            <w:vAlign w:val="top"/>
          </w:tcPr>
          <w:p>
            <w:pPr>
              <w:spacing w:before="40" w:after="40"/>
              <w:rPr>
                <w:sz w:val="18"/>
              </w:rPr>
            </w:pPr>
            <w:r>
              <w:rPr>
                <w:b/>
                <w:sz w:val="18"/>
                <w:szCs w:val="18"/>
              </w:rPr>
              <w:t xml:space="preserve">#</w:t>
            </w:r>
          </w:p>
        </w:tc>
        <w:tc>
          <w:tcPr>
            <w:tcW w:w="2337" w:type="dxa"/>
            <w:shd w:val="clear" w:fill="EDF2F8"/>
            <w:vAlign w:val="top"/>
          </w:tcPr>
          <w:p>
            <w:pPr>
              <w:spacing w:before="40" w:after="40"/>
              <w:rPr>
                <w:sz w:val="18"/>
              </w:rPr>
            </w:pPr>
            <w:r>
              <w:rPr>
                <w:b/>
                <w:sz w:val="18"/>
                <w:szCs w:val="18"/>
              </w:rPr>
              <w:t xml:space="preserve">Pendiente</w:t>
            </w:r>
          </w:p>
        </w:tc>
        <w:tc>
          <w:tcPr>
            <w:tcW w:w="2337" w:type="dxa"/>
            <w:shd w:val="clear" w:fill="EDF2F8"/>
            <w:vAlign w:val="top"/>
          </w:tcPr>
          <w:p>
            <w:pPr>
              <w:spacing w:before="40" w:after="40"/>
              <w:rPr>
                <w:sz w:val="18"/>
              </w:rPr>
            </w:pPr>
            <w:r>
              <w:rPr>
                <w:b/>
                <w:sz w:val="18"/>
                <w:szCs w:val="18"/>
              </w:rPr>
              <w:t xml:space="preserve">Dueño</w:t>
            </w:r>
          </w:p>
        </w:tc>
        <w:tc>
          <w:tcPr>
            <w:tcW w:w="2337" w:type="dxa"/>
            <w:shd w:val="clear" w:fill="EDF2F8"/>
            <w:vAlign w:val="top"/>
          </w:tcPr>
          <w:p>
            <w:pPr>
              <w:spacing w:before="40" w:after="40"/>
              <w:rPr>
                <w:sz w:val="18"/>
              </w:rPr>
            </w:pPr>
            <w:r>
              <w:rPr>
                <w:b/>
                <w:sz w:val="18"/>
                <w:szCs w:val="18"/>
              </w:rPr>
              <w:t xml:space="preserve">Bloquea</w:t>
            </w:r>
          </w:p>
        </w:tc>
      </w:tr>
      <w:tr>
        <w:trPr>
          <w:cantSplit/>
        </w:trPr>
        <w:tc>
          <w:tcPr>
            <w:tcW w:w="2337" w:type="dxa"/>
            <w:vAlign w:val="top"/>
          </w:tcPr>
          <w:p>
            <w:pPr>
              <w:spacing w:before="40" w:after="40"/>
              <w:rPr>
                <w:sz w:val="18"/>
              </w:rPr>
            </w:pPr>
            <w:r>
              <w:rPr>
                <w:sz w:val="18"/>
                <w:szCs w:val="18"/>
              </w:rPr>
              <w:t xml:space="preserve">1</w:t>
            </w:r>
          </w:p>
        </w:tc>
        <w:tc>
          <w:tcPr>
            <w:tcW w:w="2337" w:type="dxa"/>
            <w:vAlign w:val="top"/>
          </w:tcPr>
          <w:p>
            <w:pPr>
              <w:spacing w:before="40" w:after="40"/>
              <w:rPr>
                <w:sz w:val="18"/>
              </w:rPr>
            </w:pPr>
            <w:r>
              <w:rPr>
                <w:b/>
                <w:sz w:val="18"/>
                <w:szCs w:val="18"/>
              </w:rPr>
              <w:t xml:space="preserve">Resolver la asignación de las innovaciones tipo 4 y 5</w:t>
            </w:r>
          </w:p>
        </w:tc>
        <w:tc>
          <w:tcPr>
            <w:tcW w:w="2337" w:type="dxa"/>
            <w:vAlign w:val="top"/>
          </w:tcPr>
          <w:p>
            <w:pPr>
              <w:spacing w:before="40" w:after="40"/>
              <w:rPr>
                <w:sz w:val="18"/>
              </w:rPr>
            </w:pPr>
            <w:r>
              <w:rPr>
                <w:sz w:val="18"/>
                <w:szCs w:val="18"/>
              </w:rPr>
              <w:t xml:space="preserve">Equipo</w:t>
            </w:r>
          </w:p>
        </w:tc>
        <w:tc>
          <w:tcPr>
            <w:tcW w:w="2337" w:type="dxa"/>
            <w:vAlign w:val="top"/>
          </w:tcPr>
          <w:p>
            <w:pPr>
              <w:spacing w:before="40" w:after="40"/>
              <w:rPr>
                <w:sz w:val="18"/>
              </w:rPr>
            </w:pPr>
            <w:r>
              <w:rPr>
                <w:sz w:val="18"/>
                <w:szCs w:val="18"/>
              </w:rPr>
              <w:t xml:space="preserve">17 % del informe</w:t>
            </w:r>
          </w:p>
        </w:tc>
      </w:tr>
      <w:tr>
        <w:trPr>
          <w:cantSplit/>
        </w:trPr>
        <w:tc>
          <w:tcPr>
            <w:tcW w:w="2337" w:type="dxa"/>
            <w:vAlign w:val="top"/>
          </w:tcPr>
          <w:p>
            <w:pPr>
              <w:spacing w:before="40" w:after="40"/>
              <w:rPr>
                <w:sz w:val="18"/>
              </w:rPr>
            </w:pPr>
            <w:r>
              <w:rPr>
                <w:sz w:val="18"/>
                <w:szCs w:val="18"/>
              </w:rPr>
              <w:t xml:space="preserve">2</w:t>
            </w:r>
          </w:p>
        </w:tc>
        <w:tc>
          <w:tcPr>
            <w:tcW w:w="2337" w:type="dxa"/>
            <w:vAlign w:val="top"/>
          </w:tcPr>
          <w:p>
            <w:pPr>
              <w:spacing w:before="40" w:after="40"/>
              <w:rPr>
                <w:sz w:val="18"/>
              </w:rPr>
            </w:pPr>
            <w:r>
              <w:rPr>
                <w:sz w:val="18"/>
                <w:szCs w:val="18"/>
              </w:rPr>
              <w:t xml:space="preserve">Ficha T-19 tipo 5 — hoy sin dueño efectivo</w:t>
            </w:r>
          </w:p>
        </w:tc>
        <w:tc>
          <w:tcPr>
            <w:tcW w:w="2337" w:type="dxa"/>
            <w:vAlign w:val="top"/>
          </w:tcPr>
          <w:p>
            <w:pPr>
              <w:spacing w:before="40" w:after="40"/>
              <w:rPr>
                <w:sz w:val="18"/>
              </w:rPr>
            </w:pPr>
            <w:r>
              <w:rPr>
                <w:sz w:val="18"/>
                <w:szCs w:val="18"/>
              </w:rPr>
              <w:t xml:space="preserve">Por definir</w:t>
            </w:r>
          </w:p>
        </w:tc>
        <w:tc>
          <w:tcPr>
            <w:tcW w:w="2337" w:type="dxa"/>
            <w:vAlign w:val="top"/>
          </w:tcPr>
          <w:p>
            <w:pPr>
              <w:spacing w:before="40" w:after="40"/>
              <w:rPr>
                <w:sz w:val="18"/>
              </w:rPr>
            </w:pPr>
            <w:r>
              <w:rPr>
                <w:sz w:val="18"/>
                <w:szCs w:val="18"/>
              </w:rPr>
              <w:t xml:space="preserve">Art. 28°</w:t>
            </w:r>
          </w:p>
        </w:tc>
      </w:tr>
      <w:tr>
        <w:trPr>
          <w:cantSplit/>
        </w:trPr>
        <w:tc>
          <w:tcPr>
            <w:tcW w:w="2337" w:type="dxa"/>
            <w:vAlign w:val="top"/>
          </w:tcPr>
          <w:p>
            <w:pPr>
              <w:spacing w:before="40" w:after="40"/>
              <w:rPr>
                <w:sz w:val="18"/>
              </w:rPr>
            </w:pPr>
            <w:r>
              <w:rPr>
                <w:sz w:val="18"/>
                <w:szCs w:val="18"/>
              </w:rPr>
              <w:t xml:space="preserve">3</w:t>
            </w:r>
          </w:p>
        </w:tc>
        <w:tc>
          <w:tcPr>
            <w:tcW w:w="2337" w:type="dxa"/>
            <w:vAlign w:val="top"/>
          </w:tcPr>
          <w:p>
            <w:pPr>
              <w:spacing w:before="40" w:after="40"/>
              <w:rPr>
                <w:sz w:val="18"/>
              </w:rPr>
            </w:pPr>
            <w:r>
              <w:rPr>
                <w:sz w:val="18"/>
                <w:szCs w:val="18"/>
              </w:rPr>
              <w:t xml:space="preserve">Tabla de emplazamiento T-11 con los 19 componentes del Eje 5 de D3</w:t>
            </w:r>
          </w:p>
        </w:tc>
        <w:tc>
          <w:tcPr>
            <w:tcW w:w="2337" w:type="dxa"/>
            <w:vAlign w:val="top"/>
          </w:tcPr>
          <w:p>
            <w:pPr>
              <w:spacing w:before="40" w:after="40"/>
              <w:rPr>
                <w:sz w:val="18"/>
              </w:rPr>
            </w:pPr>
            <w:r>
              <w:rPr>
                <w:sz w:val="18"/>
                <w:szCs w:val="18"/>
              </w:rPr>
              <w:t xml:space="preserve">D4</w:t>
            </w:r>
          </w:p>
        </w:tc>
        <w:tc>
          <w:tcPr>
            <w:tcW w:w="2337" w:type="dxa"/>
            <w:vAlign w:val="top"/>
          </w:tcPr>
          <w:p>
            <w:pPr>
              <w:spacing w:before="40" w:after="40"/>
              <w:rPr>
                <w:sz w:val="18"/>
              </w:rPr>
            </w:pPr>
            <w:r>
              <w:rPr>
                <w:sz w:val="18"/>
                <w:szCs w:val="18"/>
              </w:rPr>
              <w:t xml:space="preserve">Art. 16.2</w:t>
            </w:r>
          </w:p>
        </w:tc>
      </w:tr>
      <w:tr>
        <w:trPr>
          <w:cantSplit/>
        </w:trPr>
        <w:tc>
          <w:tcPr>
            <w:tcW w:w="2337" w:type="dxa"/>
            <w:vAlign w:val="top"/>
          </w:tcPr>
          <w:p>
            <w:pPr>
              <w:spacing w:before="40" w:after="40"/>
              <w:rPr>
                <w:sz w:val="18"/>
              </w:rPr>
            </w:pPr>
            <w:r>
              <w:rPr>
                <w:sz w:val="18"/>
                <w:szCs w:val="18"/>
              </w:rPr>
              <w:t xml:space="preserve">4</w:t>
            </w:r>
          </w:p>
        </w:tc>
        <w:tc>
          <w:tcPr>
            <w:tcW w:w="2337" w:type="dxa"/>
            <w:vAlign w:val="top"/>
          </w:tcPr>
          <w:p>
            <w:pPr>
              <w:spacing w:before="40" w:after="40"/>
              <w:rPr>
                <w:sz w:val="18"/>
              </w:rPr>
            </w:pPr>
            <w:r>
              <w:rPr>
                <w:sz w:val="18"/>
                <w:szCs w:val="18"/>
              </w:rPr>
              <w:t xml:space="preserve">Justificación de RAID frente a alternativas (RT-03.14)</w:t>
            </w:r>
          </w:p>
        </w:tc>
        <w:tc>
          <w:tcPr>
            <w:tcW w:w="2337" w:type="dxa"/>
            <w:vAlign w:val="top"/>
          </w:tcPr>
          <w:p>
            <w:pPr>
              <w:spacing w:before="40" w:after="40"/>
              <w:rPr>
                <w:sz w:val="18"/>
              </w:rPr>
            </w:pPr>
            <w:r>
              <w:rPr>
                <w:sz w:val="18"/>
                <w:szCs w:val="18"/>
              </w:rPr>
              <w:t xml:space="preserve">D4</w:t>
            </w:r>
          </w:p>
        </w:tc>
        <w:tc>
          <w:tcPr>
            <w:tcW w:w="2337" w:type="dxa"/>
            <w:vAlign w:val="top"/>
          </w:tcPr>
          <w:p>
            <w:pPr>
              <w:spacing w:before="40" w:after="40"/>
              <w:rPr>
                <w:sz w:val="18"/>
              </w:rPr>
            </w:pPr>
            <w:r>
              <w:rPr>
                <w:sz w:val="18"/>
                <w:szCs w:val="18"/>
              </w:rPr>
              <w:t xml:space="preserve">Subdoc. 4.2</w:t>
            </w:r>
          </w:p>
        </w:tc>
      </w:tr>
      <w:tr>
        <w:trPr>
          <w:cantSplit/>
        </w:trPr>
        <w:tc>
          <w:tcPr>
            <w:tcW w:w="2337" w:type="dxa"/>
            <w:vAlign w:val="top"/>
          </w:tcPr>
          <w:p>
            <w:pPr>
              <w:spacing w:before="40" w:after="40"/>
              <w:rPr>
                <w:sz w:val="18"/>
              </w:rPr>
            </w:pPr>
            <w:r>
              <w:rPr>
                <w:sz w:val="18"/>
                <w:szCs w:val="18"/>
              </w:rPr>
              <w:t xml:space="preserve">5</w:t>
            </w:r>
          </w:p>
        </w:tc>
        <w:tc>
          <w:tcPr>
            <w:tcW w:w="2337" w:type="dxa"/>
            <w:vAlign w:val="top"/>
          </w:tcPr>
          <w:p>
            <w:pPr>
              <w:spacing w:before="40" w:after="40"/>
              <w:rPr>
                <w:sz w:val="18"/>
              </w:rPr>
            </w:pPr>
            <w:r>
              <w:rPr>
                <w:sz w:val="18"/>
                <w:szCs w:val="18"/>
              </w:rPr>
              <w:t xml:space="preserve">Corregir los seis puntos de §7.2 en </w:t>
            </w:r>
            <w:r>
              <w:rPr>
                <w:rFonts w:ascii="Consolas" w:hAnsi="Consolas"/>
                <w:color w:val="5B21B6"/>
                <w:sz w:val="16"/>
                <w:szCs w:val="16"/>
                <w:shd w:val="clear" w:fill="F1F4F8"/>
              </w:rPr>
              <w:t xml:space="preserve">Para_D4.md</w:t>
            </w:r>
          </w:p>
        </w:tc>
        <w:tc>
          <w:tcPr>
            <w:tcW w:w="2337" w:type="dxa"/>
            <w:vAlign w:val="top"/>
          </w:tcPr>
          <w:p>
            <w:pPr>
              <w:spacing w:before="40" w:after="40"/>
              <w:rPr>
                <w:sz w:val="18"/>
              </w:rPr>
            </w:pPr>
            <w:r>
              <w:rPr>
                <w:sz w:val="18"/>
                <w:szCs w:val="18"/>
              </w:rPr>
              <w:t xml:space="preserve">D3</w:t>
            </w:r>
          </w:p>
        </w:tc>
        <w:tc>
          <w:tcPr>
            <w:tcW w:w="2337" w:type="dxa"/>
            <w:vAlign w:val="top"/>
          </w:tcPr>
          <w:p>
            <w:pPr>
              <w:spacing w:before="40" w:after="40"/>
              <w:rPr>
                <w:sz w:val="18"/>
              </w:rPr>
            </w:pPr>
            <w:r>
              <w:rPr>
                <w:sz w:val="18"/>
                <w:szCs w:val="18"/>
              </w:rPr>
              <w:t xml:space="preserve">Consistencia</w:t>
            </w:r>
          </w:p>
        </w:tc>
      </w:tr>
      <w:tr>
        <w:trPr>
          <w:cantSplit/>
        </w:trPr>
        <w:tc>
          <w:tcPr>
            <w:tcW w:w="2337" w:type="dxa"/>
            <w:vAlign w:val="top"/>
          </w:tcPr>
          <w:p>
            <w:pPr>
              <w:spacing w:before="40" w:after="40"/>
              <w:rPr>
                <w:sz w:val="18"/>
              </w:rPr>
            </w:pPr>
            <w:r>
              <w:rPr>
                <w:sz w:val="18"/>
                <w:szCs w:val="18"/>
              </w:rPr>
              <w:t xml:space="preserve">6</w:t>
            </w:r>
          </w:p>
        </w:tc>
        <w:tc>
          <w:tcPr>
            <w:tcW w:w="2337" w:type="dxa"/>
            <w:vAlign w:val="top"/>
          </w:tcPr>
          <w:p>
            <w:pPr>
              <w:spacing w:before="40" w:after="40"/>
              <w:rPr>
                <w:sz w:val="18"/>
              </w:rPr>
            </w:pPr>
            <w:r>
              <w:rPr>
                <w:sz w:val="18"/>
                <w:szCs w:val="18"/>
              </w:rPr>
              <w:t xml:space="preserve">Declarar los supuestos de §7.4 o eliminarlos</w:t>
            </w:r>
          </w:p>
        </w:tc>
        <w:tc>
          <w:tcPr>
            <w:tcW w:w="2337" w:type="dxa"/>
            <w:vAlign w:val="top"/>
          </w:tcPr>
          <w:p>
            <w:pPr>
              <w:spacing w:before="40" w:after="40"/>
              <w:rPr>
                <w:sz w:val="18"/>
              </w:rPr>
            </w:pPr>
            <w:r>
              <w:rPr>
                <w:sz w:val="18"/>
                <w:szCs w:val="18"/>
              </w:rPr>
              <w:t xml:space="preserve">D3</w:t>
            </w:r>
          </w:p>
        </w:tc>
        <w:tc>
          <w:tcPr>
            <w:tcW w:w="2337" w:type="dxa"/>
            <w:vAlign w:val="top"/>
          </w:tcPr>
          <w:p>
            <w:pPr>
              <w:spacing w:before="40" w:after="40"/>
              <w:rPr>
                <w:sz w:val="18"/>
              </w:rPr>
            </w:pPr>
            <w:r>
              <w:rPr>
                <w:sz w:val="18"/>
                <w:szCs w:val="18"/>
              </w:rPr>
              <w:t xml:space="preserve">Trazabilidad</w:t>
            </w:r>
          </w:p>
        </w:tc>
      </w:tr>
      <w:tr>
        <w:trPr>
          <w:cantSplit/>
        </w:trPr>
        <w:tc>
          <w:tcPr>
            <w:tcW w:w="2337" w:type="dxa"/>
            <w:vAlign w:val="top"/>
          </w:tcPr>
          <w:p>
            <w:pPr>
              <w:spacing w:before="40" w:after="40"/>
              <w:rPr>
                <w:sz w:val="18"/>
              </w:rPr>
            </w:pPr>
            <w:r>
              <w:rPr>
                <w:sz w:val="18"/>
                <w:szCs w:val="18"/>
              </w:rPr>
              <w:t xml:space="preserve">7</w:t>
            </w:r>
          </w:p>
        </w:tc>
        <w:tc>
          <w:tcPr>
            <w:tcW w:w="2337" w:type="dxa"/>
            <w:vAlign w:val="top"/>
          </w:tcPr>
          <w:p>
            <w:pPr>
              <w:spacing w:before="40" w:after="40"/>
              <w:rPr>
                <w:sz w:val="18"/>
              </w:rPr>
            </w:pPr>
            <w:r>
              <w:rPr>
                <w:sz w:val="18"/>
                <w:szCs w:val="18"/>
              </w:rPr>
              <w:t xml:space="preserve">Verificar las referencias normativas sin comprobar</w:t>
            </w:r>
          </w:p>
        </w:tc>
        <w:tc>
          <w:tcPr>
            <w:tcW w:w="2337" w:type="dxa"/>
            <w:vAlign w:val="top"/>
          </w:tcPr>
          <w:p>
            <w:pPr>
              <w:spacing w:before="40" w:after="40"/>
              <w:rPr>
                <w:sz w:val="18"/>
              </w:rPr>
            </w:pPr>
            <w:r>
              <w:rPr>
                <w:sz w:val="18"/>
                <w:szCs w:val="18"/>
              </w:rPr>
              <w:t xml:space="preserve">D3 + D4</w:t>
            </w:r>
          </w:p>
        </w:tc>
        <w:tc>
          <w:tcPr>
            <w:tcW w:w="2337" w:type="dxa"/>
            <w:vAlign w:val="top"/>
          </w:tcPr>
          <w:p>
            <w:pPr>
              <w:spacing w:before="40" w:after="40"/>
              <w:rPr>
                <w:sz w:val="18"/>
              </w:rPr>
            </w:pPr>
            <w:r>
              <w:rPr>
                <w:sz w:val="18"/>
                <w:szCs w:val="18"/>
              </w:rPr>
              <w:t xml:space="preserve">Citas APA</w:t>
            </w:r>
          </w:p>
        </w:tc>
      </w:tr>
      <w:tr>
        <w:trPr>
          <w:cantSplit/>
        </w:trPr>
        <w:tc>
          <w:tcPr>
            <w:tcW w:w="2337" w:type="dxa"/>
            <w:vAlign w:val="top"/>
          </w:tcPr>
          <w:p>
            <w:pPr>
              <w:spacing w:before="40" w:after="40"/>
              <w:rPr>
                <w:sz w:val="18"/>
              </w:rPr>
            </w:pPr>
            <w:r>
              <w:rPr>
                <w:sz w:val="18"/>
                <w:szCs w:val="18"/>
              </w:rPr>
              <w:t xml:space="preserve">8</w:t>
            </w:r>
          </w:p>
        </w:tc>
        <w:tc>
          <w:tcPr>
            <w:tcW w:w="2337" w:type="dxa"/>
            <w:vAlign w:val="top"/>
          </w:tcPr>
          <w:p>
            <w:pPr>
              <w:spacing w:before="40" w:after="40"/>
              <w:rPr>
                <w:sz w:val="18"/>
              </w:rPr>
            </w:pPr>
            <w:r>
              <w:rPr>
                <w:sz w:val="18"/>
                <w:szCs w:val="18"/>
              </w:rPr>
              <w:t xml:space="preserve">Foliación correlativa, media firma y referencias APA 7.ª</w:t>
            </w:r>
          </w:p>
        </w:tc>
        <w:tc>
          <w:tcPr>
            <w:tcW w:w="2337" w:type="dxa"/>
            <w:vAlign w:val="top"/>
          </w:tcPr>
          <w:p>
            <w:pPr>
              <w:spacing w:before="40" w:after="40"/>
              <w:rPr>
                <w:sz w:val="18"/>
              </w:rPr>
            </w:pPr>
            <w:r>
              <w:rPr>
                <w:sz w:val="18"/>
                <w:szCs w:val="18"/>
              </w:rPr>
              <w:t xml:space="preserve">D1 (custodia de formalidad)</w:t>
            </w:r>
          </w:p>
        </w:tc>
        <w:tc>
          <w:tcPr>
            <w:tcW w:w="2337" w:type="dxa"/>
            <w:vAlign w:val="top"/>
          </w:tcPr>
          <w:p>
            <w:pPr>
              <w:spacing w:before="40" w:after="40"/>
              <w:rPr>
                <w:sz w:val="18"/>
              </w:rPr>
            </w:pPr>
            <w:r>
              <w:rPr>
                <w:b/>
                <w:sz w:val="18"/>
                <w:szCs w:val="18"/>
              </w:rPr>
              <w:t xml:space="preserve">Art. 40.1: la falta de foliación produce exclusión automática</w:t>
            </w:r>
          </w:p>
        </w:tc>
      </w:tr>
    </w:tbl>
    <w:p>
      <w:pPr>
        <w:spacing w:before="0" w:after="100"/>
      </w:pPr>
    </w:p>
    <w:sectPr>
      <w:footerReference w:type="default" r:id="rId3"/>
      <w:pgSz w:w="11906" w:h="16838"/>
      <w:pgMar w:top="1134" w:right="1134" w:bottom="1134" w:left="1134" w:header="708" w:footer="708" w:gutter="0"/>
    </w:sectPr>
  </w:body>
</w:document>
</file>

<file path=word/footer1.xml><?xml version="1.0" encoding="utf-8"?>
<w:ftr xmlns:w="http://schemas.openxmlformats.org/wordprocessingml/2006/main" xmlns:r="http://schemas.openxmlformats.org/officeDocument/2006/relationships">
  <w:p>
    <w:pPr>
      <w:jc w:val="center"/>
      <w:pBdr>
        <w:top w:val="single" w:sz="4" w:space="6" w:color="C8D2DE"/>
      </w:pBdr>
    </w:pPr>
    <w:r>
      <w:rPr>
        <w:sz w:val="17"/>
        <w:color w:val="6B7280"/>
      </w:rPr>
      <w:t xml:space="preserve">Dupla 4 · Subdoc. 4.2 · TFEP-01/2026 — </w:t>
    </w:r>
    <w:r>
      <w:fldChar w:fldCharType="begin"/>
    </w:r>
    <w:r>
      <w:instrText xml:space="preserve"> PAGE </w:instrText>
    </w:r>
    <w:r>
      <w:fldChar w:fldCharType="separate"/>
    </w:r>
    <w:r>
      <w:rPr>
        <w:sz w:val="17"/>
      </w:rPr>
      <w:t>1</w:t>
    </w:r>
    <w:r>
      <w:fldChar w:fldCharType="end"/>
    </w:r>
  </w:p>
</w:ftr>
</file>

<file path=word/styles.xml><?xml version="1.0" encoding="utf-8"?>
<w:styles xmlns:w="http://schemas.openxmlformats.org/wordprocessingml/2006/main" xmlns:r="http://schemas.openxmlformats.org/officeDocument/2006/relationships">
  <w:docDefaults>
    <w:rPrDefault>
      <w:rPr>
        <w:rFonts w:ascii="Calibri" w:hAnsi="Calibri" w:cs="Calibri"/>
        <w:sz w:val="22"/>
        <w:szCs w:val="22"/>
        <w:lang w:val="es-CL"/>
      </w:rPr>
    </w:rPrDefault>
    <w:pPrDefault>
      <w:pPr>
        <w:spacing w:after="120"/>
      </w:pPr>
    </w:pPrDefault>
  </w:docDefaults>
  <w:style w:type="paragraph" w:default="1" w:styleId="Normal">
    <w:name w:val="Normal"/>
  </w:style>
  <w:style w:type="paragraph" w:styleId="Titulo0">
    <w:name w:val="Title"/>
    <w:qFormat/>
    <w:rPr>
      <w:b/>
      <w:sz w:val="40"/>
      <w:color w:val="12243A"/>
    </w:rPr>
  </w:style>
  <w:style w:type="paragraph" w:styleId="Heading1">
    <w:name w:val="heading 1"/>
    <w:qFormat/>
    <w:pPr>
      <w:outlineLvl w:val="0"/>
      <w:pBdr>
        <w:bottom w:val="single" w:sz="8" w:space="4" w:color="1B4FA8"/>
      </w:pBdr>
    </w:pPr>
    <w:rPr>
      <w:b/>
      <w:sz w:val="30"/>
      <w:color w:val="1B4FA8"/>
    </w:rPr>
  </w:style>
  <w:style w:type="paragraph" w:styleId="Heading2">
    <w:name w:val="heading 2"/>
    <w:qFormat/>
    <w:pPr>
      <w:outlineLvl w:val="1"/>
    </w:pPr>
    <w:rPr>
      <w:b/>
      <w:sz w:val="25"/>
      <w:color w:val="12243A"/>
    </w:rPr>
  </w:style>
  <w:style w:type="paragraph" w:styleId="Heading3">
    <w:name w:val="heading 3"/>
    <w:qFormat/>
    <w:pPr>
      <w:outlineLvl w:val="2"/>
    </w:pPr>
    <w:rPr>
      <w:b/>
      <w:i/>
      <w:sz w:val="23"/>
      <w:color w:val="41506A"/>
    </w:rPr>
  </w:style>
  <w:style w:type="paragraph" w:styleId="Codigo">
    <w:name w:val="Codigo"/>
    <w:rPr>
      <w:rFonts w:ascii="Consolas" w:hAnsi="Consolas"/>
      <w:sz w:val="15"/>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3"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Informe y Presentación 1 — audIT · Caso 10</dc:title>
  <dc:subject>Licitación TFEP-01/2026 · Transportes Curimón S.A. · documento consolidado de las 4 duplas</dc:subject>
  <dc:creator>Dupla 4</dc:creator>
  <cp:revision>1</cp:revision>
</cp:coreProperties>
</file>