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ulo0"/>
        <w:keepNext/>
        <w:spacing w:before="0" w:after="160"/>
      </w:pPr>
      <w:r>
        <w:t xml:space="preserve">Tabla de trazabilidad de observaciones del Informe 1</w:t>
      </w:r>
    </w:p>
    <w:p>
      <w:pPr>
        <w:spacing w:before="0" w:after="140" w:line="264" w:lineRule="auto"/>
      </w:pPr>
      <w:r>
        <w:t xml:space="preserve">audIT, Empresa N.º 10. Licitación TFEP-01/2026, Caso 10 Transporte de Carga. Transportes Curimón S.A.</w:t>
      </w:r>
    </w:p>
    <w:p>
      <w:pPr>
        <w:spacing w:before="0" w:after="140" w:line="264" w:lineRule="auto"/>
      </w:pPr>
      <w:r>
        <w:t xml:space="preserve">El Artículo 46 de las Bases Administrativas obliga a incorporar en cada informe la resolución explícita de las observaciones de la instancia anterior, con trazabilidad entre observación, respuesta y sección modificada. Esta tabla responde a la totalidad de las observaciones del Informe 1.</w:t>
      </w:r>
    </w:p>
    <w:p>
      <w:pPr>
        <w:spacing w:before="0" w:after="140" w:line="264" w:lineRule="auto"/>
      </w:pPr>
      <w:r>
        <w:t xml:space="preserve">Las respuestas son de dos clases. </w:t>
      </w:r>
      <w:r>
        <w:rPr>
          <w:b/>
        </w:rPr>
        <w:t xml:space="preserve">Se acepta</w:t>
      </w:r>
      <w:r>
        <w:t xml:space="preserve"> significa que la observación es correcta y el documento se corrige. </w:t>
      </w:r>
      <w:r>
        <w:rPr>
          <w:b/>
        </w:rPr>
        <w:t xml:space="preserve">Se aclara</w:t>
      </w:r>
      <w:r>
        <w:t xml:space="preserve"> significa que se aporta un antecedente que no estuvo a la vista de la comisión. Hay cuatro aclaraciones en todo el informe y ninguna busca revertir una calificación.</w:t>
      </w:r>
    </w:p>
    <w:p>
      <w:pPr>
        <w:pStyle w:val="Heading1"/>
        <w:keepNext/>
        <w:spacing w:before="320" w:after="120"/>
      </w:pPr>
      <w:r>
        <w:t xml:space="preserve">Nota para el equipo, retirar antes de entregar</w:t>
      </w:r>
    </w:p>
    <w:p>
      <w:pPr>
        <w:spacing w:before="0" w:after="140" w:line="264" w:lineRule="auto"/>
      </w:pPr>
      <w:r>
        <w:t xml:space="preserve">Hay tres filas de aclaración pura, las N.º 17, 28 y 98, y dos mixtas que aceptan la corrección y además explican el criterio con que se resolvió el Informe 1, las N.º 24 y 49. Conviene que vayan redactadas sin confrontación y con la cita textual a la vista, porque su valor no es recuperar puntos sino mostrar que se leyó la evaluación con cuidado.</w:t>
      </w:r>
    </w:p>
    <w:p>
      <w:pPr>
        <w:spacing w:before="0" w:after="140" w:line="264" w:lineRule="auto"/>
      </w:pPr>
      <w:r>
        <w:t xml:space="preserve">Antes de escribir la columna de sección modificada hay que fijar la estructura del Informe 2. Lo que aparece acá es la ubicación prevista, no una referencia verificada.</w:t>
      </w:r>
    </w:p>
    <w:p>
      <w:pPr>
        <w:spacing w:before="0" w:after="140" w:line="264" w:lineRule="auto"/>
      </w:pPr>
      <w:r>
        <w:t xml:space="preserve">Dos advertencias de riesgo que no son observaciones pero condicionan el Informe 2. La primera: la comisión advirtió que cualquier indicio de uso de inteligencia artificial sin revisión implica que el subdocumento completo se tiene por no presentado. Las filas 27, 35, 85, 86 y 93 son esos indicios. La segunda: el folio de la propuesta final es un correlativo único que no se reinicia en cada subdocumento, lo que obliga a rehacer la numeración de la plantilla.</w:t>
      </w:r>
    </w:p>
    <w:p>
      <w:pPr>
        <w:pStyle w:val="Heading1"/>
        <w:keepNext/>
        <w:spacing w:before="320" w:after="120"/>
      </w:pPr>
      <w:r>
        <w:t xml:space="preserve">General, formalidad y cumplimiento de instrucciones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01. Formulario T-12 ausente pese a que el Subdocumento 3 p.6 dice que acompaña la oferta</w:t>
            </w:r>
          </w:p>
        </w:tc>
        <w:tc>
          <w:tcPr>
            <w:tcW w:w="3116" w:type="dxa"/>
            <w:vAlign w:val="top"/>
          </w:tcPr>
          <w:p>
            <w:pPr>
              <w:spacing w:before="40" w:after="40"/>
              <w:rPr>
                <w:sz w:val="18"/>
              </w:rPr>
            </w:pPr>
            <w:r>
              <w:rPr>
                <w:sz w:val="18"/>
                <w:szCs w:val="18"/>
              </w:rPr>
              <w:t xml:space="preserve">Se acepta. Se adjunta el catálogo completo</w:t>
            </w:r>
          </w:p>
        </w:tc>
        <w:tc>
          <w:tcPr>
            <w:tcW w:w="3116" w:type="dxa"/>
            <w:vAlign w:val="top"/>
          </w:tcPr>
          <w:p>
            <w:pPr>
              <w:spacing w:before="40" w:after="40"/>
              <w:rPr>
                <w:sz w:val="18"/>
              </w:rPr>
            </w:pPr>
            <w:r>
              <w:rPr>
                <w:sz w:val="18"/>
                <w:szCs w:val="18"/>
              </w:rPr>
              <w:t xml:space="preserve">S3, anexo Formulario T-12</w:t>
            </w:r>
          </w:p>
        </w:tc>
      </w:tr>
      <w:tr>
        <w:trPr>
          <w:cantSplit/>
        </w:trPr>
        <w:tc>
          <w:tcPr>
            <w:tcW w:w="3116" w:type="dxa"/>
            <w:vAlign w:val="top"/>
          </w:tcPr>
          <w:p>
            <w:pPr>
              <w:spacing w:before="40" w:after="40"/>
              <w:rPr>
                <w:sz w:val="18"/>
              </w:rPr>
            </w:pPr>
            <w:r>
              <w:rPr>
                <w:sz w:val="18"/>
                <w:szCs w:val="18"/>
              </w:rPr>
              <w:t xml:space="preserve">02. Formulario T-19 diferido a la propuesta final cuando el ítem 13 lo incluye</w:t>
            </w:r>
          </w:p>
        </w:tc>
        <w:tc>
          <w:tcPr>
            <w:tcW w:w="3116" w:type="dxa"/>
            <w:vAlign w:val="top"/>
          </w:tcPr>
          <w:p>
            <w:pPr>
              <w:spacing w:before="40" w:after="40"/>
              <w:rPr>
                <w:sz w:val="18"/>
              </w:rPr>
            </w:pPr>
            <w:r>
              <w:rPr>
                <w:sz w:val="18"/>
                <w:szCs w:val="18"/>
              </w:rPr>
              <w:t xml:space="preserve">Se acepta. Se entregan las cinco fichas</w:t>
            </w:r>
          </w:p>
        </w:tc>
        <w:tc>
          <w:tcPr>
            <w:tcW w:w="3116" w:type="dxa"/>
            <w:vAlign w:val="top"/>
          </w:tcPr>
          <w:p>
            <w:pPr>
              <w:spacing w:before="40" w:after="40"/>
              <w:rPr>
                <w:sz w:val="18"/>
              </w:rPr>
            </w:pPr>
            <w:r>
              <w:rPr>
                <w:sz w:val="18"/>
                <w:szCs w:val="18"/>
              </w:rPr>
              <w:t xml:space="preserve">S13, anexo Formulario T-19</w:t>
            </w:r>
          </w:p>
        </w:tc>
      </w:tr>
      <w:tr>
        <w:trPr>
          <w:cantSplit/>
        </w:trPr>
        <w:tc>
          <w:tcPr>
            <w:tcW w:w="3116" w:type="dxa"/>
            <w:vAlign w:val="top"/>
          </w:tcPr>
          <w:p>
            <w:pPr>
              <w:spacing w:before="40" w:after="40"/>
              <w:rPr>
                <w:sz w:val="18"/>
              </w:rPr>
            </w:pPr>
            <w:r>
              <w:rPr>
                <w:sz w:val="18"/>
                <w:szCs w:val="18"/>
              </w:rPr>
              <w:t xml:space="preserve">03. El Anexo A del Subdocumento 4 no es el T-11, es una tabla de emplazamiento sin cantidades ni configuración</w:t>
            </w:r>
          </w:p>
        </w:tc>
        <w:tc>
          <w:tcPr>
            <w:tcW w:w="3116" w:type="dxa"/>
            <w:vAlign w:val="top"/>
          </w:tcPr>
          <w:p>
            <w:pPr>
              <w:spacing w:before="40" w:after="40"/>
              <w:rPr>
                <w:sz w:val="18"/>
              </w:rPr>
            </w:pPr>
            <w:r>
              <w:rPr>
                <w:sz w:val="18"/>
                <w:szCs w:val="18"/>
              </w:rPr>
              <w:t xml:space="preserve">Se acepta. Se reemplaza por un T-11 con cantidades y características</w:t>
            </w:r>
          </w:p>
        </w:tc>
        <w:tc>
          <w:tcPr>
            <w:tcW w:w="3116" w:type="dxa"/>
            <w:vAlign w:val="top"/>
          </w:tcPr>
          <w:p>
            <w:pPr>
              <w:spacing w:before="40" w:after="40"/>
              <w:rPr>
                <w:sz w:val="18"/>
              </w:rPr>
            </w:pPr>
            <w:r>
              <w:rPr>
                <w:sz w:val="18"/>
                <w:szCs w:val="18"/>
              </w:rPr>
              <w:t xml:space="preserve">S4, Anexo A</w:t>
            </w:r>
          </w:p>
        </w:tc>
      </w:tr>
      <w:tr>
        <w:trPr>
          <w:cantSplit/>
        </w:trPr>
        <w:tc>
          <w:tcPr>
            <w:tcW w:w="3116" w:type="dxa"/>
            <w:vAlign w:val="top"/>
          </w:tcPr>
          <w:p>
            <w:pPr>
              <w:spacing w:before="40" w:after="40"/>
              <w:rPr>
                <w:sz w:val="18"/>
              </w:rPr>
            </w:pPr>
            <w:r>
              <w:rPr>
                <w:sz w:val="18"/>
                <w:szCs w:val="18"/>
              </w:rPr>
              <w:t xml:space="preserve">04. El interior es una plantilla académica sin identidad de empresa</w:t>
            </w:r>
          </w:p>
        </w:tc>
        <w:tc>
          <w:tcPr>
            <w:tcW w:w="3116" w:type="dxa"/>
            <w:vAlign w:val="top"/>
          </w:tcPr>
          <w:p>
            <w:pPr>
              <w:spacing w:before="40" w:after="40"/>
              <w:rPr>
                <w:sz w:val="18"/>
              </w:rPr>
            </w:pPr>
            <w:r>
              <w:rPr>
                <w:sz w:val="18"/>
                <w:szCs w:val="18"/>
              </w:rPr>
              <w:t xml:space="preserve">Se acepta. Encabezados, tablas y figuras con estilo corporativo</w:t>
            </w:r>
          </w:p>
        </w:tc>
        <w:tc>
          <w:tcPr>
            <w:tcW w:w="3116" w:type="dxa"/>
            <w:vAlign w:val="top"/>
          </w:tcPr>
          <w:p>
            <w:pPr>
              <w:spacing w:before="40" w:after="40"/>
              <w:rPr>
                <w:sz w:val="18"/>
              </w:rPr>
            </w:pPr>
            <w:r>
              <w:rPr>
                <w:sz w:val="18"/>
                <w:szCs w:val="18"/>
              </w:rPr>
              <w:t xml:space="preserve">Plantilla, los seis subdocumentos</w:t>
            </w:r>
          </w:p>
        </w:tc>
      </w:tr>
      <w:tr>
        <w:trPr>
          <w:cantSplit/>
        </w:trPr>
        <w:tc>
          <w:tcPr>
            <w:tcW w:w="3116" w:type="dxa"/>
            <w:vAlign w:val="top"/>
          </w:tcPr>
          <w:p>
            <w:pPr>
              <w:spacing w:before="40" w:after="40"/>
              <w:rPr>
                <w:sz w:val="18"/>
              </w:rPr>
            </w:pPr>
            <w:r>
              <w:rPr>
                <w:sz w:val="18"/>
                <w:szCs w:val="18"/>
              </w:rPr>
              <w:t xml:space="preserve">05. Se cita a la Escuela de Informática como autor bibliográfico en S1, S2, S3 y S13</w:t>
            </w:r>
          </w:p>
        </w:tc>
        <w:tc>
          <w:tcPr>
            <w:tcW w:w="3116" w:type="dxa"/>
            <w:vAlign w:val="top"/>
          </w:tcPr>
          <w:p>
            <w:pPr>
              <w:spacing w:before="40" w:after="40"/>
              <w:rPr>
                <w:sz w:val="18"/>
              </w:rPr>
            </w:pPr>
            <w:r>
              <w:rPr>
                <w:sz w:val="18"/>
                <w:szCs w:val="18"/>
              </w:rPr>
              <w:t xml:space="preserve">Se acepta. Las bases se citan por artículo o capítulo y se retira la bibliografía académica</w:t>
            </w:r>
          </w:p>
        </w:tc>
        <w:tc>
          <w:tcPr>
            <w:tcW w:w="3116" w:type="dxa"/>
            <w:vAlign w:val="top"/>
          </w:tcPr>
          <w:p>
            <w:pPr>
              <w:spacing w:before="40" w:after="40"/>
              <w:rPr>
                <w:sz w:val="18"/>
              </w:rPr>
            </w:pPr>
            <w:r>
              <w:rPr>
                <w:sz w:val="18"/>
                <w:szCs w:val="18"/>
              </w:rPr>
              <w:t xml:space="preserve">Los seis subdocumentos</w:t>
            </w:r>
          </w:p>
        </w:tc>
      </w:tr>
      <w:tr>
        <w:trPr>
          <w:cantSplit/>
        </w:trPr>
        <w:tc>
          <w:tcPr>
            <w:tcW w:w="3116" w:type="dxa"/>
            <w:vAlign w:val="top"/>
          </w:tcPr>
          <w:p>
            <w:pPr>
              <w:spacing w:before="40" w:after="40"/>
              <w:rPr>
                <w:sz w:val="18"/>
              </w:rPr>
            </w:pPr>
            <w:r>
              <w:rPr>
                <w:sz w:val="18"/>
                <w:szCs w:val="18"/>
              </w:rPr>
              <w:t xml:space="preserve">06. Numeración de títulos inconsistente, el índice del S1 muestra 1.3 1.2.1 y 2 1.3</w:t>
            </w:r>
          </w:p>
        </w:tc>
        <w:tc>
          <w:tcPr>
            <w:tcW w:w="3116" w:type="dxa"/>
            <w:vAlign w:val="top"/>
          </w:tcPr>
          <w:p>
            <w:pPr>
              <w:spacing w:before="40" w:after="40"/>
              <w:rPr>
                <w:sz w:val="18"/>
              </w:rPr>
            </w:pPr>
            <w:r>
              <w:rPr>
                <w:sz w:val="18"/>
                <w:szCs w:val="18"/>
              </w:rPr>
              <w:t xml:space="preserve">Se acepta. Índice y cuerpo con una sola numeración</w:t>
            </w:r>
          </w:p>
        </w:tc>
        <w:tc>
          <w:tcPr>
            <w:tcW w:w="3116" w:type="dxa"/>
            <w:vAlign w:val="top"/>
          </w:tcPr>
          <w:p>
            <w:pPr>
              <w:spacing w:before="40" w:after="40"/>
              <w:rPr>
                <w:sz w:val="18"/>
              </w:rPr>
            </w:pPr>
            <w:r>
              <w:rPr>
                <w:sz w:val="18"/>
                <w:szCs w:val="18"/>
              </w:rPr>
              <w:t xml:space="preserve">S1 y plantilla</w:t>
            </w:r>
          </w:p>
        </w:tc>
      </w:tr>
      <w:tr>
        <w:trPr>
          <w:cantSplit/>
        </w:trPr>
        <w:tc>
          <w:tcPr>
            <w:tcW w:w="3116" w:type="dxa"/>
            <w:vAlign w:val="top"/>
          </w:tcPr>
          <w:p>
            <w:pPr>
              <w:spacing w:before="40" w:after="40"/>
              <w:rPr>
                <w:sz w:val="18"/>
              </w:rPr>
            </w:pPr>
            <w:r>
              <w:rPr>
                <w:sz w:val="18"/>
                <w:szCs w:val="18"/>
              </w:rPr>
              <w:t xml:space="preserve">07. Títulos de nivel 1 a mitad de página con el número en cuerpo gigante</w:t>
            </w:r>
          </w:p>
        </w:tc>
        <w:tc>
          <w:tcPr>
            <w:tcW w:w="3116" w:type="dxa"/>
            <w:vAlign w:val="top"/>
          </w:tcPr>
          <w:p>
            <w:pPr>
              <w:spacing w:before="40" w:after="40"/>
              <w:rPr>
                <w:sz w:val="18"/>
              </w:rPr>
            </w:pPr>
            <w:r>
              <w:rPr>
                <w:sz w:val="18"/>
                <w:szCs w:val="18"/>
              </w:rPr>
              <w:t xml:space="preserve">Se acepta. Se ajusta el estilo de título</w:t>
            </w:r>
          </w:p>
        </w:tc>
        <w:tc>
          <w:tcPr>
            <w:tcW w:w="3116" w:type="dxa"/>
            <w:vAlign w:val="top"/>
          </w:tcPr>
          <w:p>
            <w:pPr>
              <w:spacing w:before="40" w:after="40"/>
              <w:rPr>
                <w:sz w:val="18"/>
              </w:rPr>
            </w:pPr>
            <w:r>
              <w:rPr>
                <w:sz w:val="18"/>
                <w:szCs w:val="18"/>
              </w:rPr>
              <w:t xml:space="preserve">Plantilla</w:t>
            </w:r>
          </w:p>
        </w:tc>
      </w:tr>
      <w:tr>
        <w:trPr>
          <w:cantSplit/>
        </w:trPr>
        <w:tc>
          <w:tcPr>
            <w:tcW w:w="3116" w:type="dxa"/>
            <w:vAlign w:val="top"/>
          </w:tcPr>
          <w:p>
            <w:pPr>
              <w:spacing w:before="40" w:after="40"/>
              <w:rPr>
                <w:sz w:val="18"/>
              </w:rPr>
            </w:pPr>
            <w:r>
              <w:rPr>
                <w:sz w:val="18"/>
                <w:szCs w:val="18"/>
              </w:rPr>
              <w:t xml:space="preserve">08. Título seguido de otro título y una tabla, sin párrafo de contexto ni conclusión</w:t>
            </w:r>
          </w:p>
        </w:tc>
        <w:tc>
          <w:tcPr>
            <w:tcW w:w="3116" w:type="dxa"/>
            <w:vAlign w:val="top"/>
          </w:tcPr>
          <w:p>
            <w:pPr>
              <w:spacing w:before="40" w:after="40"/>
              <w:rPr>
                <w:sz w:val="18"/>
              </w:rPr>
            </w:pPr>
            <w:r>
              <w:rPr>
                <w:sz w:val="18"/>
                <w:szCs w:val="18"/>
              </w:rPr>
              <w:t xml:space="preserve">Se acepta. Cada tabla lleva un párrafo antes y una conclusión después</w:t>
            </w:r>
          </w:p>
        </w:tc>
        <w:tc>
          <w:tcPr>
            <w:tcW w:w="3116" w:type="dxa"/>
            <w:vAlign w:val="top"/>
          </w:tcPr>
          <w:p>
            <w:pPr>
              <w:spacing w:before="40" w:after="40"/>
              <w:rPr>
                <w:sz w:val="18"/>
              </w:rPr>
            </w:pPr>
            <w:r>
              <w:rPr>
                <w:sz w:val="18"/>
                <w:szCs w:val="18"/>
              </w:rPr>
              <w:t xml:space="preserve">S2 1.2.1 a 1.2.7, S3 1.9.4 y 1.12, S4 1.2.6 y 1.3.1</w:t>
            </w:r>
          </w:p>
        </w:tc>
      </w:tr>
      <w:tr>
        <w:trPr>
          <w:cantSplit/>
        </w:trPr>
        <w:tc>
          <w:tcPr>
            <w:tcW w:w="3116" w:type="dxa"/>
            <w:vAlign w:val="top"/>
          </w:tcPr>
          <w:p>
            <w:pPr>
              <w:spacing w:before="40" w:after="40"/>
              <w:rPr>
                <w:sz w:val="18"/>
              </w:rPr>
            </w:pPr>
            <w:r>
              <w:rPr>
                <w:sz w:val="18"/>
                <w:szCs w:val="18"/>
              </w:rPr>
              <w:t xml:space="preserve">09. Títulos huérfanos al pie y cabeceras de tabla separadas del cuerpo</w:t>
            </w:r>
          </w:p>
        </w:tc>
        <w:tc>
          <w:tcPr>
            <w:tcW w:w="3116" w:type="dxa"/>
            <w:vAlign w:val="top"/>
          </w:tcPr>
          <w:p>
            <w:pPr>
              <w:spacing w:before="40" w:after="40"/>
              <w:rPr>
                <w:sz w:val="18"/>
              </w:rPr>
            </w:pPr>
            <w:r>
              <w:rPr>
                <w:sz w:val="18"/>
                <w:szCs w:val="18"/>
              </w:rPr>
              <w:t xml:space="preserve">Se acepta. Se fuerza el bloque de título y tabla</w:t>
            </w:r>
          </w:p>
        </w:tc>
        <w:tc>
          <w:tcPr>
            <w:tcW w:w="3116" w:type="dxa"/>
            <w:vAlign w:val="top"/>
          </w:tcPr>
          <w:p>
            <w:pPr>
              <w:spacing w:before="40" w:after="40"/>
              <w:rPr>
                <w:sz w:val="18"/>
              </w:rPr>
            </w:pPr>
            <w:r>
              <w:rPr>
                <w:sz w:val="18"/>
                <w:szCs w:val="18"/>
              </w:rPr>
              <w:t xml:space="preserve">Plantilla</w:t>
            </w:r>
          </w:p>
        </w:tc>
      </w:tr>
      <w:tr>
        <w:trPr>
          <w:cantSplit/>
        </w:trPr>
        <w:tc>
          <w:tcPr>
            <w:tcW w:w="3116" w:type="dxa"/>
            <w:vAlign w:val="top"/>
          </w:tcPr>
          <w:p>
            <w:pPr>
              <w:spacing w:before="40" w:after="40"/>
              <w:rPr>
                <w:sz w:val="18"/>
              </w:rPr>
            </w:pPr>
            <w:r>
              <w:rPr>
                <w:sz w:val="18"/>
                <w:szCs w:val="18"/>
              </w:rPr>
              <w:t xml:space="preserve">10. La media firma se superpone al pie y compite con la última línea</w:t>
            </w:r>
          </w:p>
        </w:tc>
        <w:tc>
          <w:tcPr>
            <w:tcW w:w="3116" w:type="dxa"/>
            <w:vAlign w:val="top"/>
          </w:tcPr>
          <w:p>
            <w:pPr>
              <w:spacing w:before="40" w:after="40"/>
              <w:rPr>
                <w:sz w:val="18"/>
              </w:rPr>
            </w:pPr>
            <w:r>
              <w:rPr>
                <w:sz w:val="18"/>
                <w:szCs w:val="18"/>
              </w:rPr>
              <w:t xml:space="preserve">Se acepta. Se separa el pie del cuerpo</w:t>
            </w:r>
          </w:p>
        </w:tc>
        <w:tc>
          <w:tcPr>
            <w:tcW w:w="3116" w:type="dxa"/>
            <w:vAlign w:val="top"/>
          </w:tcPr>
          <w:p>
            <w:pPr>
              <w:spacing w:before="40" w:after="40"/>
              <w:rPr>
                <w:sz w:val="18"/>
              </w:rPr>
            </w:pPr>
            <w:r>
              <w:rPr>
                <w:sz w:val="18"/>
                <w:szCs w:val="18"/>
              </w:rPr>
              <w:t xml:space="preserve">Plantilla</w:t>
            </w:r>
          </w:p>
        </w:tc>
      </w:tr>
      <w:tr>
        <w:trPr>
          <w:cantSplit/>
        </w:trPr>
        <w:tc>
          <w:tcPr>
            <w:tcW w:w="3116" w:type="dxa"/>
            <w:vAlign w:val="top"/>
          </w:tcPr>
          <w:p>
            <w:pPr>
              <w:spacing w:before="40" w:after="40"/>
              <w:rPr>
                <w:sz w:val="18"/>
              </w:rPr>
            </w:pPr>
            <w:r>
              <w:rPr>
                <w:sz w:val="18"/>
                <w:szCs w:val="18"/>
              </w:rPr>
              <w:t xml:space="preserve">11. Diagramas relegados a un capítulo final y a media página, ninguno citado desde el texto</w:t>
            </w:r>
          </w:p>
        </w:tc>
        <w:tc>
          <w:tcPr>
            <w:tcW w:w="3116" w:type="dxa"/>
            <w:vAlign w:val="top"/>
          </w:tcPr>
          <w:p>
            <w:pPr>
              <w:spacing w:before="40" w:after="40"/>
              <w:rPr>
                <w:sz w:val="18"/>
              </w:rPr>
            </w:pPr>
            <w:r>
              <w:rPr>
                <w:sz w:val="18"/>
                <w:szCs w:val="18"/>
              </w:rPr>
              <w:t xml:space="preserve">Se acepta. Cada figura va en la sección que la explica y se recorre en el texto</w:t>
            </w:r>
          </w:p>
        </w:tc>
        <w:tc>
          <w:tcPr>
            <w:tcW w:w="3116" w:type="dxa"/>
            <w:vAlign w:val="top"/>
          </w:tcPr>
          <w:p>
            <w:pPr>
              <w:spacing w:before="40" w:after="40"/>
              <w:rPr>
                <w:sz w:val="18"/>
              </w:rPr>
            </w:pPr>
            <w:r>
              <w:rPr>
                <w:sz w:val="18"/>
                <w:szCs w:val="18"/>
              </w:rPr>
              <w:t xml:space="preserve">S4 y los demás subdocumentos</w:t>
            </w:r>
          </w:p>
        </w:tc>
      </w:tr>
      <w:tr>
        <w:trPr>
          <w:cantSplit/>
        </w:trPr>
        <w:tc>
          <w:tcPr>
            <w:tcW w:w="3116" w:type="dxa"/>
            <w:vAlign w:val="top"/>
          </w:tcPr>
          <w:p>
            <w:pPr>
              <w:spacing w:before="40" w:after="40"/>
              <w:rPr>
                <w:sz w:val="18"/>
              </w:rPr>
            </w:pPr>
            <w:r>
              <w:rPr>
                <w:sz w:val="18"/>
                <w:szCs w:val="18"/>
              </w:rPr>
              <w:t xml:space="preserve">12. Nombres de integrantes y duplas dentro de la oferta en S13 y S3</w:t>
            </w:r>
          </w:p>
        </w:tc>
        <w:tc>
          <w:tcPr>
            <w:tcW w:w="3116" w:type="dxa"/>
            <w:vAlign w:val="top"/>
          </w:tcPr>
          <w:p>
            <w:pPr>
              <w:spacing w:before="40" w:after="40"/>
              <w:rPr>
                <w:sz w:val="18"/>
              </w:rPr>
            </w:pPr>
            <w:r>
              <w:rPr>
                <w:sz w:val="18"/>
                <w:szCs w:val="18"/>
              </w:rPr>
              <w:t xml:space="preserve">Se acepta. Se eliminan</w:t>
            </w:r>
          </w:p>
        </w:tc>
        <w:tc>
          <w:tcPr>
            <w:tcW w:w="3116" w:type="dxa"/>
            <w:vAlign w:val="top"/>
          </w:tcPr>
          <w:p>
            <w:pPr>
              <w:spacing w:before="40" w:after="40"/>
              <w:rPr>
                <w:sz w:val="18"/>
              </w:rPr>
            </w:pPr>
            <w:r>
              <w:rPr>
                <w:sz w:val="18"/>
                <w:szCs w:val="18"/>
              </w:rPr>
              <w:t xml:space="preserve">S13 tabla 1.1 y 1.6, S3 1.14</w:t>
            </w:r>
          </w:p>
        </w:tc>
      </w:tr>
      <w:tr>
        <w:trPr>
          <w:cantSplit/>
        </w:trPr>
        <w:tc>
          <w:tcPr>
            <w:tcW w:w="3116" w:type="dxa"/>
            <w:vAlign w:val="top"/>
          </w:tcPr>
          <w:p>
            <w:pPr>
              <w:spacing w:before="40" w:after="40"/>
              <w:rPr>
                <w:sz w:val="18"/>
              </w:rPr>
            </w:pPr>
            <w:r>
              <w:rPr>
                <w:sz w:val="18"/>
                <w:szCs w:val="18"/>
              </w:rPr>
              <w:t xml:space="preserve">13. El Subdocumento 5 abre con la bitácora interna del grupo</w:t>
            </w:r>
          </w:p>
        </w:tc>
        <w:tc>
          <w:tcPr>
            <w:tcW w:w="3116" w:type="dxa"/>
            <w:vAlign w:val="top"/>
          </w:tcPr>
          <w:p>
            <w:pPr>
              <w:spacing w:before="40" w:after="40"/>
              <w:rPr>
                <w:sz w:val="18"/>
              </w:rPr>
            </w:pPr>
            <w:r>
              <w:rPr>
                <w:sz w:val="18"/>
                <w:szCs w:val="18"/>
              </w:rPr>
              <w:t xml:space="preserve">Se acepta. Se elimina la sección</w:t>
            </w:r>
          </w:p>
        </w:tc>
        <w:tc>
          <w:tcPr>
            <w:tcW w:w="3116" w:type="dxa"/>
            <w:vAlign w:val="top"/>
          </w:tcPr>
          <w:p>
            <w:pPr>
              <w:spacing w:before="40" w:after="40"/>
              <w:rPr>
                <w:sz w:val="18"/>
              </w:rPr>
            </w:pPr>
            <w:r>
              <w:rPr>
                <w:sz w:val="18"/>
                <w:szCs w:val="18"/>
              </w:rPr>
              <w:t xml:space="preserve">S5 1.1</w:t>
            </w:r>
          </w:p>
        </w:tc>
      </w:tr>
      <w:tr>
        <w:trPr>
          <w:cantSplit/>
        </w:trPr>
        <w:tc>
          <w:tcPr>
            <w:tcW w:w="3116" w:type="dxa"/>
            <w:vAlign w:val="top"/>
          </w:tcPr>
          <w:p>
            <w:pPr>
              <w:spacing w:before="40" w:after="40"/>
              <w:rPr>
                <w:sz w:val="18"/>
              </w:rPr>
            </w:pPr>
            <w:r>
              <w:rPr>
                <w:sz w:val="18"/>
                <w:szCs w:val="18"/>
              </w:rPr>
              <w:t xml:space="preserve">14. El Subdocumento 2 cierra con una advertencia metodológica dirigida al profesor</w:t>
            </w:r>
          </w:p>
        </w:tc>
        <w:tc>
          <w:tcPr>
            <w:tcW w:w="3116" w:type="dxa"/>
            <w:vAlign w:val="top"/>
          </w:tcPr>
          <w:p>
            <w:pPr>
              <w:spacing w:before="40" w:after="40"/>
              <w:rPr>
                <w:sz w:val="18"/>
              </w:rPr>
            </w:pPr>
            <w:r>
              <w:rPr>
                <w:sz w:val="18"/>
                <w:szCs w:val="18"/>
              </w:rPr>
              <w:t xml:space="preserve">Se acepta. Se elimina</w:t>
            </w:r>
          </w:p>
        </w:tc>
        <w:tc>
          <w:tcPr>
            <w:tcW w:w="3116" w:type="dxa"/>
            <w:vAlign w:val="top"/>
          </w:tcPr>
          <w:p>
            <w:pPr>
              <w:spacing w:before="40" w:after="40"/>
              <w:rPr>
                <w:sz w:val="18"/>
              </w:rPr>
            </w:pPr>
            <w:r>
              <w:rPr>
                <w:sz w:val="18"/>
                <w:szCs w:val="18"/>
              </w:rPr>
              <w:t xml:space="preserve">S2 1.6.3</w:t>
            </w:r>
          </w:p>
        </w:tc>
      </w:tr>
      <w:tr>
        <w:trPr>
          <w:cantSplit/>
        </w:trPr>
        <w:tc>
          <w:tcPr>
            <w:tcW w:w="3116" w:type="dxa"/>
            <w:vAlign w:val="top"/>
          </w:tcPr>
          <w:p>
            <w:pPr>
              <w:spacing w:before="40" w:after="40"/>
              <w:rPr>
                <w:sz w:val="18"/>
              </w:rPr>
            </w:pPr>
            <w:r>
              <w:rPr>
                <w:sz w:val="18"/>
                <w:szCs w:val="18"/>
              </w:rPr>
              <w:t xml:space="preserve">15. El folio de la propuesta final es un correlativo único que no se reinicia por subdocumento</w:t>
            </w:r>
          </w:p>
        </w:tc>
        <w:tc>
          <w:tcPr>
            <w:tcW w:w="3116" w:type="dxa"/>
            <w:vAlign w:val="top"/>
          </w:tcPr>
          <w:p>
            <w:pPr>
              <w:spacing w:before="40" w:after="40"/>
              <w:rPr>
                <w:sz w:val="18"/>
              </w:rPr>
            </w:pPr>
            <w:r>
              <w:rPr>
                <w:sz w:val="18"/>
                <w:szCs w:val="18"/>
              </w:rPr>
              <w:t xml:space="preserve">Se acepta. Se rehace la foliación como correlativo continuo</w:t>
            </w:r>
          </w:p>
        </w:tc>
        <w:tc>
          <w:tcPr>
            <w:tcW w:w="3116" w:type="dxa"/>
            <w:vAlign w:val="top"/>
          </w:tcPr>
          <w:p>
            <w:pPr>
              <w:spacing w:before="40" w:after="40"/>
              <w:rPr>
                <w:sz w:val="18"/>
              </w:rPr>
            </w:pPr>
            <w:r>
              <w:rPr>
                <w:sz w:val="18"/>
                <w:szCs w:val="18"/>
              </w:rPr>
              <w:t xml:space="preserve">Plantilla</w:t>
            </w:r>
          </w:p>
        </w:tc>
      </w:tr>
    </w:tbl>
    <w:p>
      <w:pPr>
        <w:spacing w:before="0" w:after="100"/>
      </w:pPr>
    </w:p>
    <w:p>
      <w:pPr>
        <w:pStyle w:val="Heading1"/>
        <w:keepNext/>
        <w:spacing w:before="320" w:after="120"/>
      </w:pPr>
      <w:r>
        <w:t xml:space="preserve">Subdocumento 1, presentación de la empresa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16. Una empresa de cuatro años y 22 personas promete presencia permanente en cuatro nodos regionales y reemplazo de hardware en menos de 4 horas sobre 3.000 km, sin decir con quién</w:t>
            </w:r>
          </w:p>
        </w:tc>
        <w:tc>
          <w:tcPr>
            <w:tcW w:w="3116" w:type="dxa"/>
            <w:vAlign w:val="top"/>
          </w:tcPr>
          <w:p>
            <w:pPr>
              <w:spacing w:before="40" w:after="40"/>
              <w:rPr>
                <w:sz w:val="18"/>
              </w:rPr>
            </w:pPr>
            <w:r>
              <w:rPr>
                <w:sz w:val="18"/>
                <w:szCs w:val="18"/>
              </w:rPr>
              <w:t xml:space="preserve">Se acepta. Se nombran los socios, su ubicación, el convenio y los tiempos reales, o se ajusta la promesa a la capacidad instalada</w:t>
            </w:r>
          </w:p>
        </w:tc>
        <w:tc>
          <w:tcPr>
            <w:tcW w:w="3116" w:type="dxa"/>
            <w:vAlign w:val="top"/>
          </w:tcPr>
          <w:p>
            <w:pPr>
              <w:spacing w:before="40" w:after="40"/>
              <w:rPr>
                <w:sz w:val="18"/>
              </w:rPr>
            </w:pPr>
            <w:r>
              <w:rPr>
                <w:sz w:val="18"/>
                <w:szCs w:val="18"/>
              </w:rPr>
              <w:t xml:space="preserve">S1 1.1</w:t>
            </w:r>
          </w:p>
        </w:tc>
      </w:tr>
      <w:tr>
        <w:trPr>
          <w:cantSplit/>
        </w:trPr>
        <w:tc>
          <w:tcPr>
            <w:tcW w:w="3116" w:type="dxa"/>
            <w:vAlign w:val="top"/>
          </w:tcPr>
          <w:p>
            <w:pPr>
              <w:spacing w:before="40" w:after="40"/>
              <w:rPr>
                <w:sz w:val="18"/>
              </w:rPr>
            </w:pPr>
            <w:r>
              <w:rPr>
                <w:sz w:val="18"/>
                <w:szCs w:val="18"/>
              </w:rPr>
              <w:t xml:space="preserve">17. Cita normativa errada, el DS 43 del Ministerio de Salud se invoca como norma de transporte</w:t>
            </w:r>
          </w:p>
        </w:tc>
        <w:tc>
          <w:tcPr>
            <w:tcW w:w="3116" w:type="dxa"/>
            <w:vAlign w:val="top"/>
          </w:tcPr>
          <w:p>
            <w:pPr>
              <w:spacing w:before="40" w:after="40"/>
              <w:rPr>
                <w:sz w:val="18"/>
              </w:rPr>
            </w:pPr>
            <w:r>
              <w:rPr>
                <w:b/>
                <w:sz w:val="18"/>
                <w:szCs w:val="18"/>
              </w:rPr>
              <w:t xml:space="preserve">Se aclara.</w:t>
            </w:r>
            <w:r>
              <w:rPr>
                <w:sz w:val="18"/>
                <w:szCs w:val="18"/>
              </w:rPr>
              <w:t xml:space="preserve"> El texto de la p.8 dice «transporte y almacenamiento de sustancias peligrosas (Decreto Supremo N.º 298 ... y Decreto Supremo N.º 43 ...)». La enumeración es copulativa: el 298 rige el transporte y el 43 el almacenamiento en los patios químicos y estaciones de carga donde inician y terminan los ciclos de las 18 unidades de sustancias peligrosas. La bibliografía identifica al 43 como reglamento de almacenamiento. Se reformula el párrafo para que la distinción quede explícita</w:t>
            </w:r>
          </w:p>
        </w:tc>
        <w:tc>
          <w:tcPr>
            <w:tcW w:w="3116" w:type="dxa"/>
            <w:vAlign w:val="top"/>
          </w:tcPr>
          <w:p>
            <w:pPr>
              <w:spacing w:before="40" w:after="40"/>
              <w:rPr>
                <w:sz w:val="18"/>
              </w:rPr>
            </w:pPr>
            <w:r>
              <w:rPr>
                <w:sz w:val="18"/>
                <w:szCs w:val="18"/>
              </w:rPr>
              <w:t xml:space="preserve">S1 1.2</w:t>
            </w:r>
          </w:p>
        </w:tc>
      </w:tr>
      <w:tr>
        <w:trPr>
          <w:cantSplit/>
        </w:trPr>
        <w:tc>
          <w:tcPr>
            <w:tcW w:w="3116" w:type="dxa"/>
            <w:vAlign w:val="top"/>
          </w:tcPr>
          <w:p>
            <w:pPr>
              <w:spacing w:before="40" w:after="40"/>
              <w:rPr>
                <w:sz w:val="18"/>
              </w:rPr>
            </w:pPr>
            <w:r>
              <w:rPr>
                <w:sz w:val="18"/>
                <w:szCs w:val="18"/>
              </w:rPr>
              <w:t xml:space="preserve">18. Prosa de folleto, socio tecnológico de referencia en el Cono Sur y compromiso irrestricto</w:t>
            </w:r>
          </w:p>
        </w:tc>
        <w:tc>
          <w:tcPr>
            <w:tcW w:w="3116" w:type="dxa"/>
            <w:vAlign w:val="top"/>
          </w:tcPr>
          <w:p>
            <w:pPr>
              <w:spacing w:before="40" w:after="40"/>
              <w:rPr>
                <w:sz w:val="18"/>
              </w:rPr>
            </w:pPr>
            <w:r>
              <w:rPr>
                <w:sz w:val="18"/>
                <w:szCs w:val="18"/>
              </w:rPr>
              <w:t xml:space="preserve">Se acepta. Se reemplaza por evidencia verificable</w:t>
            </w:r>
          </w:p>
        </w:tc>
        <w:tc>
          <w:tcPr>
            <w:tcW w:w="3116" w:type="dxa"/>
            <w:vAlign w:val="top"/>
          </w:tcPr>
          <w:p>
            <w:pPr>
              <w:spacing w:before="40" w:after="40"/>
              <w:rPr>
                <w:sz w:val="18"/>
              </w:rPr>
            </w:pPr>
            <w:r>
              <w:rPr>
                <w:sz w:val="18"/>
                <w:szCs w:val="18"/>
              </w:rPr>
              <w:t xml:space="preserve">S1 1.1</w:t>
            </w:r>
          </w:p>
        </w:tc>
      </w:tr>
      <w:tr>
        <w:trPr>
          <w:cantSplit/>
        </w:trPr>
        <w:tc>
          <w:tcPr>
            <w:tcW w:w="3116" w:type="dxa"/>
            <w:vAlign w:val="top"/>
          </w:tcPr>
          <w:p>
            <w:pPr>
              <w:spacing w:before="40" w:after="40"/>
              <w:rPr>
                <w:sz w:val="18"/>
              </w:rPr>
            </w:pPr>
            <w:r>
              <w:rPr>
                <w:sz w:val="18"/>
                <w:szCs w:val="18"/>
              </w:rPr>
              <w:t xml:space="preserve">19. Líneas de negocio reducidas a un listado de tecnologías</w:t>
            </w:r>
          </w:p>
        </w:tc>
        <w:tc>
          <w:tcPr>
            <w:tcW w:w="3116" w:type="dxa"/>
            <w:vAlign w:val="top"/>
          </w:tcPr>
          <w:p>
            <w:pPr>
              <w:spacing w:before="40" w:after="40"/>
              <w:rPr>
                <w:sz w:val="18"/>
              </w:rPr>
            </w:pPr>
            <w:r>
              <w:rPr>
                <w:sz w:val="18"/>
                <w:szCs w:val="18"/>
              </w:rPr>
              <w:t xml:space="preserve">Se acepta. Se describen servicios con entregable y responsabilidad</w:t>
            </w:r>
          </w:p>
        </w:tc>
        <w:tc>
          <w:tcPr>
            <w:tcW w:w="3116" w:type="dxa"/>
            <w:vAlign w:val="top"/>
          </w:tcPr>
          <w:p>
            <w:pPr>
              <w:spacing w:before="40" w:after="40"/>
              <w:rPr>
                <w:sz w:val="18"/>
              </w:rPr>
            </w:pPr>
            <w:r>
              <w:rPr>
                <w:sz w:val="18"/>
                <w:szCs w:val="18"/>
              </w:rPr>
              <w:t xml:space="preserve">S1 1.2</w:t>
            </w:r>
          </w:p>
        </w:tc>
      </w:tr>
      <w:tr>
        <w:trPr>
          <w:cantSplit/>
        </w:trPr>
        <w:tc>
          <w:tcPr>
            <w:tcW w:w="3116" w:type="dxa"/>
            <w:vAlign w:val="top"/>
          </w:tcPr>
          <w:p>
            <w:pPr>
              <w:spacing w:before="40" w:after="40"/>
              <w:rPr>
                <w:sz w:val="18"/>
              </w:rPr>
            </w:pPr>
            <w:r>
              <w:rPr>
                <w:sz w:val="18"/>
                <w:szCs w:val="18"/>
              </w:rPr>
              <w:t xml:space="preserve">20. El modelo de gobierno es una lista de normas, faltan roles, comités, indicadores y ciclo de auditoría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S1 1.4</w:t>
            </w:r>
          </w:p>
        </w:tc>
      </w:tr>
      <w:tr>
        <w:trPr>
          <w:cantSplit/>
        </w:trPr>
        <w:tc>
          <w:tcPr>
            <w:tcW w:w="3116" w:type="dxa"/>
            <w:vAlign w:val="top"/>
          </w:tcPr>
          <w:p>
            <w:pPr>
              <w:spacing w:before="40" w:after="40"/>
              <w:rPr>
                <w:sz w:val="18"/>
              </w:rPr>
            </w:pPr>
            <w:r>
              <w:rPr>
                <w:sz w:val="18"/>
                <w:szCs w:val="18"/>
              </w:rPr>
              <w:t xml:space="preserve">21. Sin antecedentes financieros que sostengan 56 meses de contrato</w:t>
            </w:r>
          </w:p>
        </w:tc>
        <w:tc>
          <w:tcPr>
            <w:tcW w:w="3116" w:type="dxa"/>
            <w:vAlign w:val="top"/>
          </w:tcPr>
          <w:p>
            <w:pPr>
              <w:spacing w:before="40" w:after="40"/>
              <w:rPr>
                <w:sz w:val="18"/>
              </w:rPr>
            </w:pPr>
            <w:r>
              <w:rPr>
                <w:sz w:val="18"/>
                <w:szCs w:val="18"/>
              </w:rPr>
              <w:t xml:space="preserve">Se acepta. Se incorporan credenciales financieras</w:t>
            </w:r>
          </w:p>
        </w:tc>
        <w:tc>
          <w:tcPr>
            <w:tcW w:w="3116" w:type="dxa"/>
            <w:vAlign w:val="top"/>
          </w:tcPr>
          <w:p>
            <w:pPr>
              <w:spacing w:before="40" w:after="40"/>
              <w:rPr>
                <w:sz w:val="18"/>
              </w:rPr>
            </w:pPr>
            <w:r>
              <w:rPr>
                <w:sz w:val="18"/>
                <w:szCs w:val="18"/>
              </w:rPr>
              <w:t xml:space="preserve">S1, nueva sección</w:t>
            </w:r>
          </w:p>
        </w:tc>
      </w:tr>
      <w:tr>
        <w:trPr>
          <w:cantSplit/>
        </w:trPr>
        <w:tc>
          <w:tcPr>
            <w:tcW w:w="3116" w:type="dxa"/>
            <w:vAlign w:val="top"/>
          </w:tcPr>
          <w:p>
            <w:pPr>
              <w:spacing w:before="40" w:after="40"/>
              <w:rPr>
                <w:sz w:val="18"/>
              </w:rPr>
            </w:pPr>
            <w:r>
              <w:rPr>
                <w:sz w:val="18"/>
                <w:szCs w:val="18"/>
              </w:rPr>
              <w:t xml:space="preserve">22. Los tres proyectos del T-6 no traen volúmenes comparables con 374 camiones y 96.000 viajes</w:t>
            </w:r>
          </w:p>
        </w:tc>
        <w:tc>
          <w:tcPr>
            <w:tcW w:w="3116" w:type="dxa"/>
            <w:vAlign w:val="top"/>
          </w:tcPr>
          <w:p>
            <w:pPr>
              <w:spacing w:before="40" w:after="40"/>
              <w:rPr>
                <w:sz w:val="18"/>
              </w:rPr>
            </w:pPr>
            <w:r>
              <w:rPr>
                <w:sz w:val="18"/>
                <w:szCs w:val="18"/>
              </w:rPr>
              <w:t xml:space="preserve">Se acepta. Se agregan volúmenes</w:t>
            </w:r>
          </w:p>
        </w:tc>
        <w:tc>
          <w:tcPr>
            <w:tcW w:w="3116" w:type="dxa"/>
            <w:vAlign w:val="top"/>
          </w:tcPr>
          <w:p>
            <w:pPr>
              <w:spacing w:before="40" w:after="40"/>
              <w:rPr>
                <w:sz w:val="18"/>
              </w:rPr>
            </w:pPr>
            <w:r>
              <w:rPr>
                <w:sz w:val="18"/>
                <w:szCs w:val="18"/>
              </w:rPr>
              <w:t xml:space="preserve">S1 tabla 2.1</w:t>
            </w:r>
          </w:p>
        </w:tc>
      </w:tr>
      <w:tr>
        <w:trPr>
          <w:cantSplit/>
        </w:trPr>
        <w:tc>
          <w:tcPr>
            <w:tcW w:w="3116" w:type="dxa"/>
            <w:vAlign w:val="top"/>
          </w:tcPr>
          <w:p>
            <w:pPr>
              <w:spacing w:before="40" w:after="40"/>
              <w:rPr>
                <w:sz w:val="18"/>
              </w:rPr>
            </w:pPr>
            <w:r>
              <w:rPr>
                <w:sz w:val="18"/>
                <w:szCs w:val="18"/>
              </w:rPr>
              <w:t xml:space="preserve">23. La única figura, el organigrama, está reducida y no se explica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S1 figura 1.1</w:t>
            </w:r>
          </w:p>
        </w:tc>
      </w:tr>
    </w:tbl>
    <w:p>
      <w:pPr>
        <w:spacing w:before="0" w:after="100"/>
      </w:pPr>
    </w:p>
    <w:p>
      <w:pPr>
        <w:pStyle w:val="Heading1"/>
        <w:keepNext/>
        <w:spacing w:before="320" w:after="120"/>
      </w:pPr>
      <w:r>
        <w:t xml:space="preserve">Subdocumento 2, comprensión del problema y de la necesidad</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24. No existe resumen ejecutivo de la propuesta, la sección 1.1 resume el problema</w:t>
            </w:r>
          </w:p>
        </w:tc>
        <w:tc>
          <w:tcPr>
            <w:tcW w:w="3116" w:type="dxa"/>
            <w:vAlign w:val="top"/>
          </w:tcPr>
          <w:p>
            <w:pPr>
              <w:spacing w:before="40" w:after="40"/>
              <w:rPr>
                <w:sz w:val="18"/>
              </w:rPr>
            </w:pPr>
            <w:r>
              <w:rPr>
                <w:sz w:val="18"/>
                <w:szCs w:val="18"/>
              </w:rPr>
              <w:t xml:space="preserve">Se acepta para esta instancia y se aclara el criterio del Informe 1. El Formulario T-21 nombra el ítem «Resumen Ejecutivo, comprensión del problema y de la necesidad», mientras el Formulario T-7 p.57 ordena para el mismo subdocumento «No mezclar el problema con la solución» y el Formulario T-22 p.68 repite «No mezclar con la solución». audIT resolvió la contradicción por el texto prohibitivo. Superada la instancia, el Informe 2 incorpora el resumen ejecutivo con propuesta de valor, enfoque ingenieril y resultados comprometidos</w:t>
            </w:r>
          </w:p>
        </w:tc>
        <w:tc>
          <w:tcPr>
            <w:tcW w:w="3116" w:type="dxa"/>
            <w:vAlign w:val="top"/>
          </w:tcPr>
          <w:p>
            <w:pPr>
              <w:spacing w:before="40" w:after="40"/>
              <w:rPr>
                <w:sz w:val="18"/>
              </w:rPr>
            </w:pPr>
            <w:r>
              <w:rPr>
                <w:sz w:val="18"/>
                <w:szCs w:val="18"/>
              </w:rPr>
              <w:t xml:space="preserve">S2, nueva sección 1.1</w:t>
            </w:r>
          </w:p>
        </w:tc>
      </w:tr>
      <w:tr>
        <w:trPr>
          <w:cantSplit/>
        </w:trPr>
        <w:tc>
          <w:tcPr>
            <w:tcW w:w="3116" w:type="dxa"/>
            <w:vAlign w:val="top"/>
          </w:tcPr>
          <w:p>
            <w:pPr>
              <w:spacing w:before="40" w:after="40"/>
              <w:rPr>
                <w:sz w:val="18"/>
              </w:rPr>
            </w:pPr>
            <w:r>
              <w:rPr>
                <w:sz w:val="18"/>
                <w:szCs w:val="18"/>
              </w:rPr>
              <w:t xml:space="preserve">25. Cada bloque 1.2.1 a 1.2.7 es un título y una tabla, la prosa repite la tabla con adjetivos y no hay análisis</w:t>
            </w:r>
          </w:p>
        </w:tc>
        <w:tc>
          <w:tcPr>
            <w:tcW w:w="3116" w:type="dxa"/>
            <w:vAlign w:val="top"/>
          </w:tcPr>
          <w:p>
            <w:pPr>
              <w:spacing w:before="40" w:after="40"/>
              <w:rPr>
                <w:sz w:val="18"/>
              </w:rPr>
            </w:pPr>
            <w:r>
              <w:rPr>
                <w:sz w:val="18"/>
                <w:szCs w:val="18"/>
              </w:rPr>
              <w:t xml:space="preserve">Se acepta. Se agrega jerarquía de patologías, dependencias y orden de resolución</w:t>
            </w:r>
          </w:p>
        </w:tc>
        <w:tc>
          <w:tcPr>
            <w:tcW w:w="3116" w:type="dxa"/>
            <w:vAlign w:val="top"/>
          </w:tcPr>
          <w:p>
            <w:pPr>
              <w:spacing w:before="40" w:after="40"/>
              <w:rPr>
                <w:sz w:val="18"/>
              </w:rPr>
            </w:pPr>
            <w:r>
              <w:rPr>
                <w:sz w:val="18"/>
                <w:szCs w:val="18"/>
              </w:rPr>
              <w:t xml:space="preserve">S2 1.2</w:t>
            </w:r>
          </w:p>
        </w:tc>
      </w:tr>
      <w:tr>
        <w:trPr>
          <w:cantSplit/>
        </w:trPr>
        <w:tc>
          <w:tcPr>
            <w:tcW w:w="3116" w:type="dxa"/>
            <w:vAlign w:val="top"/>
          </w:tcPr>
          <w:p>
            <w:pPr>
              <w:spacing w:before="40" w:after="40"/>
              <w:rPr>
                <w:sz w:val="18"/>
              </w:rPr>
            </w:pPr>
            <w:r>
              <w:rPr>
                <w:sz w:val="18"/>
                <w:szCs w:val="18"/>
              </w:rPr>
              <w:t xml:space="preserve">26. Lenguaje inflado, riesgo de magnitudes incalculables, hemorragia, desgobierno</w:t>
            </w:r>
          </w:p>
        </w:tc>
        <w:tc>
          <w:tcPr>
            <w:tcW w:w="3116" w:type="dxa"/>
            <w:vAlign w:val="top"/>
          </w:tcPr>
          <w:p>
            <w:pPr>
              <w:spacing w:before="40" w:after="40"/>
              <w:rPr>
                <w:sz w:val="18"/>
              </w:rPr>
            </w:pPr>
            <w:r>
              <w:rPr>
                <w:sz w:val="18"/>
                <w:szCs w:val="18"/>
              </w:rPr>
              <w:t xml:space="preserve">Se acepta. Se reescribe en tono descriptivo</w:t>
            </w:r>
          </w:p>
        </w:tc>
        <w:tc>
          <w:tcPr>
            <w:tcW w:w="3116" w:type="dxa"/>
            <w:vAlign w:val="top"/>
          </w:tcPr>
          <w:p>
            <w:pPr>
              <w:spacing w:before="40" w:after="40"/>
              <w:rPr>
                <w:sz w:val="18"/>
              </w:rPr>
            </w:pPr>
            <w:r>
              <w:rPr>
                <w:sz w:val="18"/>
                <w:szCs w:val="18"/>
              </w:rPr>
              <w:t xml:space="preserve">S2 completo</w:t>
            </w:r>
          </w:p>
        </w:tc>
      </w:tr>
      <w:tr>
        <w:trPr>
          <w:cantSplit/>
        </w:trPr>
        <w:tc>
          <w:tcPr>
            <w:tcW w:w="3116" w:type="dxa"/>
            <w:vAlign w:val="top"/>
          </w:tcPr>
          <w:p>
            <w:pPr>
              <w:spacing w:before="40" w:after="40"/>
              <w:rPr>
                <w:sz w:val="18"/>
              </w:rPr>
            </w:pPr>
            <w:r>
              <w:rPr>
                <w:sz w:val="18"/>
                <w:szCs w:val="18"/>
              </w:rPr>
              <w:t xml:space="preserve">27. Nota de blindaje económico dirigida al evaluador, indicio de uso de IA sin revisión</w:t>
            </w:r>
          </w:p>
        </w:tc>
        <w:tc>
          <w:tcPr>
            <w:tcW w:w="3116" w:type="dxa"/>
            <w:vAlign w:val="top"/>
          </w:tcPr>
          <w:p>
            <w:pPr>
              <w:spacing w:before="40" w:after="40"/>
              <w:rPr>
                <w:sz w:val="18"/>
              </w:rPr>
            </w:pPr>
            <w:r>
              <w:rPr>
                <w:sz w:val="18"/>
                <w:szCs w:val="18"/>
              </w:rPr>
              <w:t xml:space="preserve">Se acepta. Se elimina</w:t>
            </w:r>
          </w:p>
        </w:tc>
        <w:tc>
          <w:tcPr>
            <w:tcW w:w="3116" w:type="dxa"/>
            <w:vAlign w:val="top"/>
          </w:tcPr>
          <w:p>
            <w:pPr>
              <w:spacing w:before="40" w:after="40"/>
              <w:rPr>
                <w:sz w:val="18"/>
              </w:rPr>
            </w:pPr>
            <w:r>
              <w:rPr>
                <w:sz w:val="18"/>
                <w:szCs w:val="18"/>
              </w:rPr>
              <w:t xml:space="preserve">S2 p.11</w:t>
            </w:r>
          </w:p>
        </w:tc>
      </w:tr>
      <w:tr>
        <w:trPr>
          <w:cantSplit/>
        </w:trPr>
        <w:tc>
          <w:tcPr>
            <w:tcW w:w="3116" w:type="dxa"/>
            <w:vAlign w:val="top"/>
          </w:tcPr>
          <w:p>
            <w:pPr>
              <w:spacing w:before="40" w:after="40"/>
              <w:rPr>
                <w:sz w:val="18"/>
              </w:rPr>
            </w:pPr>
            <w:r>
              <w:rPr>
                <w:sz w:val="18"/>
                <w:szCs w:val="18"/>
              </w:rPr>
              <w:t xml:space="preserve">28. No hay un solo dato investigado fuera del caso, la bibliografía los lista y el texto no los usa</w:t>
            </w:r>
          </w:p>
        </w:tc>
        <w:tc>
          <w:tcPr>
            <w:tcW w:w="3116" w:type="dxa"/>
            <w:vAlign w:val="top"/>
          </w:tcPr>
          <w:p>
            <w:pPr>
              <w:spacing w:before="40" w:after="40"/>
              <w:rPr>
                <w:sz w:val="18"/>
              </w:rPr>
            </w:pPr>
            <w:r>
              <w:rPr>
                <w:b/>
                <w:sz w:val="18"/>
                <w:szCs w:val="18"/>
              </w:rPr>
              <w:t xml:space="preserve">Se aclara.</w:t>
            </w:r>
            <w:r>
              <w:rPr>
                <w:sz w:val="18"/>
                <w:szCs w:val="18"/>
              </w:rPr>
              <w:t xml:space="preserve"> El cuerpo del subdocumento utiliza la Ley N.º 20.123 sobre subcontratación seis veces, el Artículo 25 bis cinco, la Ley de Tránsito N.º 18.290 cinco, el tacógrafo digital seis y el Marco GLEC cinco con su fuente. La Ley N.º 20.123 no aparece en ninguno de los tres documentos de la licitación, de modo que es aporte externo del proponente. Se acepta que el uso no siempre deriva en una consecuencia de diseño y se corrige</w:t>
            </w:r>
          </w:p>
        </w:tc>
        <w:tc>
          <w:tcPr>
            <w:tcW w:w="3116" w:type="dxa"/>
            <w:vAlign w:val="top"/>
          </w:tcPr>
          <w:p>
            <w:pPr>
              <w:spacing w:before="40" w:after="40"/>
              <w:rPr>
                <w:sz w:val="18"/>
              </w:rPr>
            </w:pPr>
            <w:r>
              <w:rPr>
                <w:sz w:val="18"/>
                <w:szCs w:val="18"/>
              </w:rPr>
              <w:t xml:space="preserve">S2 1.1 y 1.2</w:t>
            </w:r>
          </w:p>
        </w:tc>
      </w:tr>
      <w:tr>
        <w:trPr>
          <w:cantSplit/>
        </w:trPr>
        <w:tc>
          <w:tcPr>
            <w:tcW w:w="3116" w:type="dxa"/>
            <w:vAlign w:val="top"/>
          </w:tcPr>
          <w:p>
            <w:pPr>
              <w:spacing w:before="40" w:after="40"/>
              <w:rPr>
                <w:sz w:val="18"/>
              </w:rPr>
            </w:pPr>
            <w:r>
              <w:rPr>
                <w:sz w:val="18"/>
                <w:szCs w:val="18"/>
              </w:rPr>
              <w:t xml:space="preserve">29. La estacionalidad se menciona y no se cuantifica su efecto sobre jornada, sobreestadía ni cobertura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S2 1.3</w:t>
            </w:r>
          </w:p>
        </w:tc>
      </w:tr>
      <w:tr>
        <w:trPr>
          <w:cantSplit/>
        </w:trPr>
        <w:tc>
          <w:tcPr>
            <w:tcW w:w="3116" w:type="dxa"/>
            <w:vAlign w:val="top"/>
          </w:tcPr>
          <w:p>
            <w:pPr>
              <w:spacing w:before="40" w:after="40"/>
              <w:rPr>
                <w:sz w:val="18"/>
              </w:rPr>
            </w:pPr>
            <w:r>
              <w:rPr>
                <w:sz w:val="18"/>
                <w:szCs w:val="18"/>
              </w:rPr>
              <w:t xml:space="preserve">30. El marco normativo aparece como citas sueltas sin decir qué control exige cada una</w:t>
            </w:r>
          </w:p>
        </w:tc>
        <w:tc>
          <w:tcPr>
            <w:tcW w:w="3116" w:type="dxa"/>
            <w:vAlign w:val="top"/>
          </w:tcPr>
          <w:p>
            <w:pPr>
              <w:spacing w:before="40" w:after="40"/>
              <w:rPr>
                <w:sz w:val="18"/>
              </w:rPr>
            </w:pPr>
            <w:r>
              <w:rPr>
                <w:sz w:val="18"/>
                <w:szCs w:val="18"/>
              </w:rPr>
              <w:t xml:space="preserve">Se acepta. Se incorpora la obligación de control que impone cada norma</w:t>
            </w:r>
          </w:p>
        </w:tc>
        <w:tc>
          <w:tcPr>
            <w:tcW w:w="3116" w:type="dxa"/>
            <w:vAlign w:val="top"/>
          </w:tcPr>
          <w:p>
            <w:pPr>
              <w:spacing w:before="40" w:after="40"/>
              <w:rPr>
                <w:sz w:val="18"/>
              </w:rPr>
            </w:pPr>
            <w:r>
              <w:rPr>
                <w:sz w:val="18"/>
                <w:szCs w:val="18"/>
              </w:rPr>
              <w:t xml:space="preserve">S2 1.3</w:t>
            </w:r>
          </w:p>
        </w:tc>
      </w:tr>
      <w:tr>
        <w:trPr>
          <w:cantSplit/>
        </w:trPr>
        <w:tc>
          <w:tcPr>
            <w:tcW w:w="3116" w:type="dxa"/>
            <w:vAlign w:val="top"/>
          </w:tcPr>
          <w:p>
            <w:pPr>
              <w:spacing w:before="40" w:after="40"/>
              <w:rPr>
                <w:sz w:val="18"/>
              </w:rPr>
            </w:pPr>
            <w:r>
              <w:rPr>
                <w:sz w:val="18"/>
                <w:szCs w:val="18"/>
              </w:rPr>
              <w:t xml:space="preserve">31. Faltan como actores el fondo de inversión con el 22 % de la propiedad, la autoridad laboral y la aseguradora</w:t>
            </w:r>
          </w:p>
        </w:tc>
        <w:tc>
          <w:tcPr>
            <w:tcW w:w="3116" w:type="dxa"/>
            <w:vAlign w:val="top"/>
          </w:tcPr>
          <w:p>
            <w:pPr>
              <w:spacing w:before="40" w:after="40"/>
              <w:rPr>
                <w:sz w:val="18"/>
              </w:rPr>
            </w:pPr>
            <w:r>
              <w:rPr>
                <w:sz w:val="18"/>
                <w:szCs w:val="18"/>
              </w:rPr>
              <w:t xml:space="preserve">Se acepta. Se agregan tres fichas</w:t>
            </w:r>
          </w:p>
        </w:tc>
        <w:tc>
          <w:tcPr>
            <w:tcW w:w="3116" w:type="dxa"/>
            <w:vAlign w:val="top"/>
          </w:tcPr>
          <w:p>
            <w:pPr>
              <w:spacing w:before="40" w:after="40"/>
              <w:rPr>
                <w:sz w:val="18"/>
              </w:rPr>
            </w:pPr>
            <w:r>
              <w:rPr>
                <w:sz w:val="18"/>
                <w:szCs w:val="18"/>
              </w:rPr>
              <w:t xml:space="preserve">S2 1.4</w:t>
            </w:r>
          </w:p>
        </w:tc>
      </w:tr>
      <w:tr>
        <w:trPr>
          <w:cantSplit/>
        </w:trPr>
        <w:tc>
          <w:tcPr>
            <w:tcW w:w="3116" w:type="dxa"/>
            <w:vAlign w:val="top"/>
          </w:tcPr>
          <w:p>
            <w:pPr>
              <w:spacing w:before="40" w:after="40"/>
              <w:rPr>
                <w:sz w:val="18"/>
              </w:rPr>
            </w:pPr>
            <w:r>
              <w:rPr>
                <w:sz w:val="18"/>
                <w:szCs w:val="18"/>
              </w:rPr>
              <w:t xml:space="preserve">32. Las tensiones se enumeran y no se arbitran</w:t>
            </w:r>
          </w:p>
        </w:tc>
        <w:tc>
          <w:tcPr>
            <w:tcW w:w="3116" w:type="dxa"/>
            <w:vAlign w:val="top"/>
          </w:tcPr>
          <w:p>
            <w:pPr>
              <w:spacing w:before="40" w:after="40"/>
              <w:rPr>
                <w:sz w:val="18"/>
              </w:rPr>
            </w:pPr>
            <w:r>
              <w:rPr>
                <w:sz w:val="18"/>
                <w:szCs w:val="18"/>
              </w:rPr>
              <w:t xml:space="preserve">Se acepta. Cada tensión con la posición del proponente y su fundamento</w:t>
            </w:r>
          </w:p>
        </w:tc>
        <w:tc>
          <w:tcPr>
            <w:tcW w:w="3116" w:type="dxa"/>
            <w:vAlign w:val="top"/>
          </w:tcPr>
          <w:p>
            <w:pPr>
              <w:spacing w:before="40" w:after="40"/>
              <w:rPr>
                <w:sz w:val="18"/>
              </w:rPr>
            </w:pPr>
            <w:r>
              <w:rPr>
                <w:sz w:val="18"/>
                <w:szCs w:val="18"/>
              </w:rPr>
              <w:t xml:space="preserve">S2 1.4</w:t>
            </w:r>
          </w:p>
        </w:tc>
      </w:tr>
      <w:tr>
        <w:trPr>
          <w:cantSplit/>
        </w:trPr>
        <w:tc>
          <w:tcPr>
            <w:tcW w:w="3116" w:type="dxa"/>
            <w:vAlign w:val="top"/>
          </w:tcPr>
          <w:p>
            <w:pPr>
              <w:spacing w:before="40" w:after="40"/>
              <w:rPr>
                <w:sz w:val="18"/>
              </w:rPr>
            </w:pPr>
            <w:r>
              <w:rPr>
                <w:sz w:val="18"/>
                <w:szCs w:val="18"/>
              </w:rPr>
              <w:t xml:space="preserve">33. Los 26 supuestos son las 26 decisiones del numeral 16.1 reescritas, no son supuestos propios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S2 1.6</w:t>
            </w:r>
          </w:p>
        </w:tc>
      </w:tr>
      <w:tr>
        <w:trPr>
          <w:cantSplit/>
        </w:trPr>
        <w:tc>
          <w:tcPr>
            <w:tcW w:w="3116" w:type="dxa"/>
            <w:vAlign w:val="top"/>
          </w:tcPr>
          <w:p>
            <w:pPr>
              <w:spacing w:before="40" w:after="40"/>
              <w:rPr>
                <w:sz w:val="18"/>
              </w:rPr>
            </w:pPr>
            <w:r>
              <w:rPr>
                <w:sz w:val="18"/>
                <w:szCs w:val="18"/>
              </w:rPr>
              <w:t xml:space="preserve">34. No hay supuestos de la propuesta ni el impacto si resultan falsos</w:t>
            </w:r>
          </w:p>
        </w:tc>
        <w:tc>
          <w:tcPr>
            <w:tcW w:w="3116" w:type="dxa"/>
            <w:vAlign w:val="top"/>
          </w:tcPr>
          <w:p>
            <w:pPr>
              <w:spacing w:before="40" w:after="40"/>
              <w:rPr>
                <w:sz w:val="18"/>
              </w:rPr>
            </w:pPr>
            <w:r>
              <w:rPr>
                <w:sz w:val="18"/>
                <w:szCs w:val="18"/>
              </w:rPr>
              <w:t xml:space="preserve">Se acepta. Se declaran los supuestos propios con fundamento e impacto</w:t>
            </w:r>
          </w:p>
        </w:tc>
        <w:tc>
          <w:tcPr>
            <w:tcW w:w="3116" w:type="dxa"/>
            <w:vAlign w:val="top"/>
          </w:tcPr>
          <w:p>
            <w:pPr>
              <w:spacing w:before="40" w:after="40"/>
              <w:rPr>
                <w:sz w:val="18"/>
              </w:rPr>
            </w:pPr>
            <w:r>
              <w:rPr>
                <w:sz w:val="18"/>
                <w:szCs w:val="18"/>
              </w:rPr>
              <w:t xml:space="preserve">S2 1.6</w:t>
            </w:r>
          </w:p>
        </w:tc>
      </w:tr>
      <w:tr>
        <w:trPr>
          <w:cantSplit/>
        </w:trPr>
        <w:tc>
          <w:tcPr>
            <w:tcW w:w="3116" w:type="dxa"/>
            <w:vAlign w:val="top"/>
          </w:tcPr>
          <w:p>
            <w:pPr>
              <w:spacing w:before="40" w:after="40"/>
              <w:rPr>
                <w:sz w:val="18"/>
              </w:rPr>
            </w:pPr>
            <w:r>
              <w:rPr>
                <w:sz w:val="18"/>
                <w:szCs w:val="18"/>
              </w:rPr>
              <w:t xml:space="preserve">35. El cierre 1.6.3 es una advertencia metodológica al profesor</w:t>
            </w:r>
          </w:p>
        </w:tc>
        <w:tc>
          <w:tcPr>
            <w:tcW w:w="3116" w:type="dxa"/>
            <w:vAlign w:val="top"/>
          </w:tcPr>
          <w:p>
            <w:pPr>
              <w:spacing w:before="40" w:after="40"/>
              <w:rPr>
                <w:sz w:val="18"/>
              </w:rPr>
            </w:pPr>
            <w:r>
              <w:rPr>
                <w:sz w:val="18"/>
                <w:szCs w:val="18"/>
              </w:rPr>
              <w:t xml:space="preserve">Se acepta. Se elimina</w:t>
            </w:r>
          </w:p>
        </w:tc>
        <w:tc>
          <w:tcPr>
            <w:tcW w:w="3116" w:type="dxa"/>
            <w:vAlign w:val="top"/>
          </w:tcPr>
          <w:p>
            <w:pPr>
              <w:spacing w:before="40" w:after="40"/>
              <w:rPr>
                <w:sz w:val="18"/>
              </w:rPr>
            </w:pPr>
            <w:r>
              <w:rPr>
                <w:sz w:val="18"/>
                <w:szCs w:val="18"/>
              </w:rPr>
              <w:t xml:space="preserve">S2 1.6.3</w:t>
            </w:r>
          </w:p>
        </w:tc>
      </w:tr>
      <w:tr>
        <w:trPr>
          <w:cantSplit/>
        </w:trPr>
        <w:tc>
          <w:tcPr>
            <w:tcW w:w="3116" w:type="dxa"/>
            <w:vAlign w:val="top"/>
          </w:tcPr>
          <w:p>
            <w:pPr>
              <w:spacing w:before="40" w:after="40"/>
              <w:rPr>
                <w:sz w:val="18"/>
              </w:rPr>
            </w:pPr>
            <w:r>
              <w:rPr>
                <w:sz w:val="18"/>
                <w:szCs w:val="18"/>
              </w:rPr>
              <w:t xml:space="preserve">36. Tono de paper y una sola figura en 32 páginas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S2 completo</w:t>
            </w:r>
          </w:p>
        </w:tc>
      </w:tr>
    </w:tbl>
    <w:p>
      <w:pPr>
        <w:spacing w:before="0" w:after="100"/>
      </w:pPr>
    </w:p>
    <w:p>
      <w:pPr>
        <w:pStyle w:val="Heading1"/>
        <w:keepNext/>
        <w:spacing w:before="320" w:after="120"/>
      </w:pPr>
      <w:r>
        <w:t xml:space="preserve">Subdocumento 3, esquema de solución y alcance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37. No existe esquema de solución, cero figuras en 18 páginas</w:t>
            </w:r>
          </w:p>
        </w:tc>
        <w:tc>
          <w:tcPr>
            <w:tcW w:w="3116" w:type="dxa"/>
            <w:vAlign w:val="top"/>
          </w:tcPr>
          <w:p>
            <w:pPr>
              <w:spacing w:before="40" w:after="40"/>
              <w:rPr>
                <w:sz w:val="18"/>
              </w:rPr>
            </w:pPr>
            <w:r>
              <w:rPr>
                <w:sz w:val="18"/>
                <w:szCs w:val="18"/>
              </w:rPr>
              <w:t xml:space="preserve">Se acepta. Se incorpora el modelo conceptual con diagrama</w:t>
            </w:r>
          </w:p>
        </w:tc>
        <w:tc>
          <w:tcPr>
            <w:tcW w:w="3116" w:type="dxa"/>
            <w:vAlign w:val="top"/>
          </w:tcPr>
          <w:p>
            <w:pPr>
              <w:spacing w:before="40" w:after="40"/>
              <w:rPr>
                <w:sz w:val="18"/>
              </w:rPr>
            </w:pPr>
            <w:r>
              <w:rPr>
                <w:sz w:val="18"/>
                <w:szCs w:val="18"/>
              </w:rPr>
              <w:t xml:space="preserve">S3, nueva sección 1.2</w:t>
            </w:r>
          </w:p>
        </w:tc>
      </w:tr>
      <w:tr>
        <w:trPr>
          <w:cantSplit/>
        </w:trPr>
        <w:tc>
          <w:tcPr>
            <w:tcW w:w="3116" w:type="dxa"/>
            <w:vAlign w:val="top"/>
          </w:tcPr>
          <w:p>
            <w:pPr>
              <w:spacing w:before="40" w:after="40"/>
              <w:rPr>
                <w:sz w:val="18"/>
              </w:rPr>
            </w:pPr>
            <w:r>
              <w:rPr>
                <w:sz w:val="18"/>
                <w:szCs w:val="18"/>
              </w:rPr>
              <w:t xml:space="preserve">38. No hay modelo conceptual, componentes ni trazabilidad de requerimiento a componente</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S3 1.2 y matriz de trazabilidad</w:t>
            </w:r>
          </w:p>
        </w:tc>
      </w:tr>
      <w:tr>
        <w:trPr>
          <w:cantSplit/>
        </w:trPr>
        <w:tc>
          <w:tcPr>
            <w:tcW w:w="3116" w:type="dxa"/>
            <w:vAlign w:val="top"/>
          </w:tcPr>
          <w:p>
            <w:pPr>
              <w:spacing w:before="40" w:after="40"/>
              <w:rPr>
                <w:sz w:val="18"/>
              </w:rPr>
            </w:pPr>
            <w:r>
              <w:rPr>
                <w:sz w:val="18"/>
                <w:szCs w:val="18"/>
              </w:rPr>
              <w:t xml:space="preserve">39. El capítulo abre en el principio rector sin explicar el objetivo del subdocumento</w:t>
            </w:r>
          </w:p>
        </w:tc>
        <w:tc>
          <w:tcPr>
            <w:tcW w:w="3116" w:type="dxa"/>
            <w:vAlign w:val="top"/>
          </w:tcPr>
          <w:p>
            <w:pPr>
              <w:spacing w:before="40" w:after="40"/>
              <w:rPr>
                <w:sz w:val="18"/>
              </w:rPr>
            </w:pPr>
            <w:r>
              <w:rPr>
                <w:sz w:val="18"/>
                <w:szCs w:val="18"/>
              </w:rPr>
              <w:t xml:space="preserve">Se acepta. Se agrega la sección de objetivo y su relación con el Subdocumento 2</w:t>
            </w:r>
          </w:p>
        </w:tc>
        <w:tc>
          <w:tcPr>
            <w:tcW w:w="3116" w:type="dxa"/>
            <w:vAlign w:val="top"/>
          </w:tcPr>
          <w:p>
            <w:pPr>
              <w:spacing w:before="40" w:after="40"/>
              <w:rPr>
                <w:sz w:val="18"/>
              </w:rPr>
            </w:pPr>
            <w:r>
              <w:rPr>
                <w:sz w:val="18"/>
                <w:szCs w:val="18"/>
              </w:rPr>
              <w:t xml:space="preserve">S3 1.1</w:t>
            </w:r>
          </w:p>
        </w:tc>
      </w:tr>
      <w:tr>
        <w:trPr>
          <w:cantSplit/>
        </w:trPr>
        <w:tc>
          <w:tcPr>
            <w:tcW w:w="3116" w:type="dxa"/>
            <w:vAlign w:val="top"/>
          </w:tcPr>
          <w:p>
            <w:pPr>
              <w:spacing w:before="40" w:after="40"/>
              <w:rPr>
                <w:sz w:val="18"/>
              </w:rPr>
            </w:pPr>
            <w:r>
              <w:rPr>
                <w:sz w:val="18"/>
                <w:szCs w:val="18"/>
              </w:rPr>
              <w:t xml:space="preserve">40. La sección 1.4 remite a una Sección 4 que no existe</w:t>
            </w:r>
          </w:p>
        </w:tc>
        <w:tc>
          <w:tcPr>
            <w:tcW w:w="3116" w:type="dxa"/>
            <w:vAlign w:val="top"/>
          </w:tcPr>
          <w:p>
            <w:pPr>
              <w:spacing w:before="40" w:after="40"/>
              <w:rPr>
                <w:sz w:val="18"/>
              </w:rPr>
            </w:pPr>
            <w:r>
              <w:rPr>
                <w:sz w:val="18"/>
                <w:szCs w:val="18"/>
              </w:rPr>
              <w:t xml:space="preserve">Se acepta. Referencia corregida</w:t>
            </w:r>
          </w:p>
        </w:tc>
        <w:tc>
          <w:tcPr>
            <w:tcW w:w="3116" w:type="dxa"/>
            <w:vAlign w:val="top"/>
          </w:tcPr>
          <w:p>
            <w:pPr>
              <w:spacing w:before="40" w:after="40"/>
              <w:rPr>
                <w:sz w:val="18"/>
              </w:rPr>
            </w:pPr>
            <w:r>
              <w:rPr>
                <w:sz w:val="18"/>
                <w:szCs w:val="18"/>
              </w:rPr>
              <w:t xml:space="preserve">S3 1.4</w:t>
            </w:r>
          </w:p>
        </w:tc>
      </w:tr>
      <w:tr>
        <w:trPr>
          <w:cantSplit/>
        </w:trPr>
        <w:tc>
          <w:tcPr>
            <w:tcW w:w="3116" w:type="dxa"/>
            <w:vAlign w:val="top"/>
          </w:tcPr>
          <w:p>
            <w:pPr>
              <w:spacing w:before="40" w:after="40"/>
              <w:rPr>
                <w:sz w:val="18"/>
              </w:rPr>
            </w:pPr>
            <w:r>
              <w:rPr>
                <w:sz w:val="18"/>
                <w:szCs w:val="18"/>
              </w:rPr>
              <w:t xml:space="preserve">41. La Etapa 1 es una tabla de nueve capacidades sin identificador y la Etapa 2 un párrafo, sin dependencias ni hitos externos</w:t>
            </w:r>
          </w:p>
        </w:tc>
        <w:tc>
          <w:tcPr>
            <w:tcW w:w="3116" w:type="dxa"/>
            <w:vAlign w:val="top"/>
          </w:tcPr>
          <w:p>
            <w:pPr>
              <w:spacing w:before="40" w:after="40"/>
              <w:rPr>
                <w:sz w:val="18"/>
              </w:rPr>
            </w:pPr>
            <w:r>
              <w:rPr>
                <w:sz w:val="18"/>
                <w:szCs w:val="18"/>
              </w:rPr>
              <w:t xml:space="preserve">Se acepta. Capacidades con identificador, dependencias, hito de 2029 y capacidad de absorción del cliente</w:t>
            </w:r>
          </w:p>
        </w:tc>
        <w:tc>
          <w:tcPr>
            <w:tcW w:w="3116" w:type="dxa"/>
            <w:vAlign w:val="top"/>
          </w:tcPr>
          <w:p>
            <w:pPr>
              <w:spacing w:before="40" w:after="40"/>
              <w:rPr>
                <w:sz w:val="18"/>
              </w:rPr>
            </w:pPr>
            <w:r>
              <w:rPr>
                <w:sz w:val="18"/>
                <w:szCs w:val="18"/>
              </w:rPr>
              <w:t xml:space="preserve">S3 1.6</w:t>
            </w:r>
          </w:p>
        </w:tc>
      </w:tr>
      <w:tr>
        <w:trPr>
          <w:cantSplit/>
        </w:trPr>
        <w:tc>
          <w:tcPr>
            <w:tcW w:w="3116" w:type="dxa"/>
            <w:vAlign w:val="top"/>
          </w:tcPr>
          <w:p>
            <w:pPr>
              <w:spacing w:before="40" w:after="40"/>
              <w:rPr>
                <w:sz w:val="18"/>
              </w:rPr>
            </w:pPr>
            <w:r>
              <w:rPr>
                <w:sz w:val="18"/>
                <w:szCs w:val="18"/>
              </w:rPr>
              <w:t xml:space="preserve">42. Exclusiones copiadas, supuestos sin lista y restricciones no recogidas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S3 1.8</w:t>
            </w:r>
          </w:p>
        </w:tc>
      </w:tr>
      <w:tr>
        <w:trPr>
          <w:cantSplit/>
        </w:trPr>
        <w:tc>
          <w:tcPr>
            <w:tcW w:w="3116" w:type="dxa"/>
            <w:vAlign w:val="top"/>
          </w:tcPr>
          <w:p>
            <w:pPr>
              <w:spacing w:before="40" w:after="40"/>
              <w:rPr>
                <w:sz w:val="18"/>
              </w:rPr>
            </w:pPr>
            <w:r>
              <w:rPr>
                <w:sz w:val="18"/>
                <w:szCs w:val="18"/>
              </w:rPr>
              <w:t xml:space="preserve">43. La decisión sobre el sistema de gestión de 2013 no se menciona ni una vez, y el Capítulo 5 del Caso la llama la decisión de arquitectura más importante</w:t>
            </w:r>
          </w:p>
        </w:tc>
        <w:tc>
          <w:tcPr>
            <w:tcW w:w="3116" w:type="dxa"/>
            <w:vAlign w:val="top"/>
          </w:tcPr>
          <w:p>
            <w:pPr>
              <w:spacing w:before="40" w:after="40"/>
              <w:rPr>
                <w:sz w:val="18"/>
              </w:rPr>
            </w:pPr>
            <w:r>
              <w:rPr>
                <w:sz w:val="18"/>
                <w:szCs w:val="18"/>
              </w:rPr>
              <w:t xml:space="preserve">Se acepta. Se decide con alternativas evaluadas, fundamento técnico y económico</w:t>
            </w:r>
          </w:p>
        </w:tc>
        <w:tc>
          <w:tcPr>
            <w:tcW w:w="3116" w:type="dxa"/>
            <w:vAlign w:val="top"/>
          </w:tcPr>
          <w:p>
            <w:pPr>
              <w:spacing w:before="40" w:after="40"/>
              <w:rPr>
                <w:sz w:val="18"/>
              </w:rPr>
            </w:pPr>
            <w:r>
              <w:rPr>
                <w:sz w:val="18"/>
                <w:szCs w:val="18"/>
              </w:rPr>
              <w:t xml:space="preserve">S3, nueva sección, y ADR en S4</w:t>
            </w:r>
          </w:p>
        </w:tc>
      </w:tr>
      <w:tr>
        <w:trPr>
          <w:cantSplit/>
        </w:trPr>
        <w:tc>
          <w:tcPr>
            <w:tcW w:w="3116" w:type="dxa"/>
            <w:vAlign w:val="top"/>
          </w:tcPr>
          <w:p>
            <w:pPr>
              <w:spacing w:before="40" w:after="40"/>
              <w:rPr>
                <w:sz w:val="18"/>
              </w:rPr>
            </w:pPr>
            <w:r>
              <w:rPr>
                <w:sz w:val="18"/>
                <w:szCs w:val="18"/>
              </w:rPr>
              <w:t xml:space="preserve">44. Sin visión de arquitectura empresarial ni análisis de interoperabilidad, escalabilidad, seguridad o performance</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S3 1.2</w:t>
            </w:r>
          </w:p>
        </w:tc>
      </w:tr>
      <w:tr>
        <w:trPr>
          <w:cantSplit/>
        </w:trPr>
        <w:tc>
          <w:tcPr>
            <w:tcW w:w="3116" w:type="dxa"/>
            <w:vAlign w:val="top"/>
          </w:tcPr>
          <w:p>
            <w:pPr>
              <w:spacing w:before="40" w:after="40"/>
              <w:rPr>
                <w:sz w:val="18"/>
              </w:rPr>
            </w:pPr>
            <w:r>
              <w:rPr>
                <w:sz w:val="18"/>
                <w:szCs w:val="18"/>
              </w:rPr>
              <w:t xml:space="preserve">45. Se declaran 42 requisitos, se muestran 12 y el T-12 no fue entregado</w:t>
            </w:r>
          </w:p>
        </w:tc>
        <w:tc>
          <w:tcPr>
            <w:tcW w:w="3116" w:type="dxa"/>
            <w:vAlign w:val="top"/>
          </w:tcPr>
          <w:p>
            <w:pPr>
              <w:spacing w:before="40" w:after="40"/>
              <w:rPr>
                <w:sz w:val="18"/>
              </w:rPr>
            </w:pPr>
            <w:r>
              <w:rPr>
                <w:sz w:val="18"/>
                <w:szCs w:val="18"/>
              </w:rPr>
              <w:t xml:space="preserve">Se acepta. Catálogo completo en el Formulario T-12</w:t>
            </w:r>
          </w:p>
        </w:tc>
        <w:tc>
          <w:tcPr>
            <w:tcW w:w="3116" w:type="dxa"/>
            <w:vAlign w:val="top"/>
          </w:tcPr>
          <w:p>
            <w:pPr>
              <w:spacing w:before="40" w:after="40"/>
              <w:rPr>
                <w:sz w:val="18"/>
              </w:rPr>
            </w:pPr>
            <w:r>
              <w:rPr>
                <w:sz w:val="18"/>
                <w:szCs w:val="18"/>
              </w:rPr>
              <w:t xml:space="preserve">S3 1.5 y anexo T-12</w:t>
            </w:r>
          </w:p>
        </w:tc>
      </w:tr>
      <w:tr>
        <w:trPr>
          <w:cantSplit/>
        </w:trPr>
        <w:tc>
          <w:tcPr>
            <w:tcW w:w="3116" w:type="dxa"/>
            <w:vAlign w:val="top"/>
          </w:tcPr>
          <w:p>
            <w:pPr>
              <w:spacing w:before="40" w:after="40"/>
              <w:rPr>
                <w:sz w:val="18"/>
              </w:rPr>
            </w:pPr>
            <w:r>
              <w:rPr>
                <w:sz w:val="18"/>
                <w:szCs w:val="18"/>
              </w:rPr>
              <w:t xml:space="preserve">46. Los 12 requisitos mostrados no tienen actor, precondición, resultado esperado ni prioridad, que exige el numeral 17.1 del Caso</w:t>
            </w:r>
          </w:p>
        </w:tc>
        <w:tc>
          <w:tcPr>
            <w:tcW w:w="3116" w:type="dxa"/>
            <w:vAlign w:val="top"/>
          </w:tcPr>
          <w:p>
            <w:pPr>
              <w:spacing w:before="40" w:after="40"/>
              <w:rPr>
                <w:sz w:val="18"/>
              </w:rPr>
            </w:pPr>
            <w:r>
              <w:rPr>
                <w:sz w:val="18"/>
                <w:szCs w:val="18"/>
              </w:rPr>
              <w:t xml:space="preserve">Se acepta. Los campos del 17.1 en cada requisito</w:t>
            </w:r>
          </w:p>
        </w:tc>
        <w:tc>
          <w:tcPr>
            <w:tcW w:w="3116" w:type="dxa"/>
            <w:vAlign w:val="top"/>
          </w:tcPr>
          <w:p>
            <w:pPr>
              <w:spacing w:before="40" w:after="40"/>
              <w:rPr>
                <w:sz w:val="18"/>
              </w:rPr>
            </w:pPr>
            <w:r>
              <w:rPr>
                <w:sz w:val="18"/>
                <w:szCs w:val="18"/>
              </w:rPr>
              <w:t xml:space="preserve">Anexo T-12</w:t>
            </w:r>
          </w:p>
        </w:tc>
      </w:tr>
      <w:tr>
        <w:trPr>
          <w:cantSplit/>
        </w:trPr>
        <w:tc>
          <w:tcPr>
            <w:tcW w:w="3116" w:type="dxa"/>
            <w:vAlign w:val="top"/>
          </w:tcPr>
          <w:p>
            <w:pPr>
              <w:spacing w:before="40" w:after="40"/>
              <w:rPr>
                <w:sz w:val="18"/>
              </w:rPr>
            </w:pPr>
            <w:r>
              <w:rPr>
                <w:sz w:val="18"/>
                <w:szCs w:val="18"/>
              </w:rPr>
              <w:t xml:space="preserve">47. No hay registro de reglas de negocio, cómputo de jornada, regla de excepción, tiempo libre de espera ni asignación de retorno</w:t>
            </w:r>
          </w:p>
        </w:tc>
        <w:tc>
          <w:tcPr>
            <w:tcW w:w="3116" w:type="dxa"/>
            <w:vAlign w:val="top"/>
          </w:tcPr>
          <w:p>
            <w:pPr>
              <w:spacing w:before="40" w:after="40"/>
              <w:rPr>
                <w:sz w:val="18"/>
              </w:rPr>
            </w:pPr>
            <w:r>
              <w:rPr>
                <w:sz w:val="18"/>
                <w:szCs w:val="18"/>
              </w:rPr>
              <w:t xml:space="preserve">Se acepta. Se incorpora el registro de reglas</w:t>
            </w:r>
          </w:p>
        </w:tc>
        <w:tc>
          <w:tcPr>
            <w:tcW w:w="3116" w:type="dxa"/>
            <w:vAlign w:val="top"/>
          </w:tcPr>
          <w:p>
            <w:pPr>
              <w:spacing w:before="40" w:after="40"/>
              <w:rPr>
                <w:sz w:val="18"/>
              </w:rPr>
            </w:pPr>
            <w:r>
              <w:rPr>
                <w:sz w:val="18"/>
                <w:szCs w:val="18"/>
              </w:rPr>
              <w:t xml:space="preserve">S3, nueva sección</w:t>
            </w:r>
          </w:p>
        </w:tc>
      </w:tr>
      <w:tr>
        <w:trPr>
          <w:cantSplit/>
        </w:trPr>
        <w:tc>
          <w:tcPr>
            <w:tcW w:w="3116" w:type="dxa"/>
            <w:vAlign w:val="top"/>
          </w:tcPr>
          <w:p>
            <w:pPr>
              <w:spacing w:before="40" w:after="40"/>
              <w:rPr>
                <w:sz w:val="18"/>
              </w:rPr>
            </w:pPr>
            <w:r>
              <w:rPr>
                <w:sz w:val="18"/>
                <w:szCs w:val="18"/>
              </w:rPr>
              <w:t xml:space="preserve">48. No hay matriz de trazabilidad de origen a requerimiento a componente a prueba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S3, nueva sección</w:t>
            </w:r>
          </w:p>
        </w:tc>
      </w:tr>
      <w:tr>
        <w:trPr>
          <w:cantSplit/>
        </w:trPr>
        <w:tc>
          <w:tcPr>
            <w:tcW w:w="3116" w:type="dxa"/>
            <w:vAlign w:val="top"/>
          </w:tcPr>
          <w:p>
            <w:pPr>
              <w:spacing w:before="40" w:after="40"/>
              <w:rPr>
                <w:sz w:val="18"/>
              </w:rPr>
            </w:pPr>
            <w:r>
              <w:rPr>
                <w:sz w:val="18"/>
                <w:szCs w:val="18"/>
              </w:rPr>
              <w:t xml:space="preserve">49. Implementación, implantación y operación no existen, nada sobre ingeniería de software, CI/CD, migración, cutover, reversión, observabilidad, RTO/RPO ni DR</w:t>
            </w:r>
          </w:p>
        </w:tc>
        <w:tc>
          <w:tcPr>
            <w:tcW w:w="3116" w:type="dxa"/>
            <w:vAlign w:val="top"/>
          </w:tcPr>
          <w:p>
            <w:pPr>
              <w:spacing w:before="40" w:after="40"/>
              <w:rPr>
                <w:sz w:val="18"/>
              </w:rPr>
            </w:pPr>
            <w:r>
              <w:rPr>
                <w:sz w:val="18"/>
                <w:szCs w:val="18"/>
              </w:rPr>
              <w:t xml:space="preserve">Se acepta y se aclara el criterio del Informe 1. El Formulario T-7 p.57 detalla el Subdocumento 3 en seis viñetas y ninguna corresponde a implementación, implantación u operación. El Artículo 46 remite el contenido de cada instancia al Formulario T-22, que para el Informe 1 pide el esquema de solución, el alcance y la estrategia con los grupos de interés. audIT reservó esas materias para los Subdocumentos 6, 7 y 8, que el T-22 sitúa en el Informe 2 y que se entregan en esta instancia</w:t>
            </w:r>
          </w:p>
        </w:tc>
        <w:tc>
          <w:tcPr>
            <w:tcW w:w="3116" w:type="dxa"/>
            <w:vAlign w:val="top"/>
          </w:tcPr>
          <w:p>
            <w:pPr>
              <w:spacing w:before="40" w:after="40"/>
              <w:rPr>
                <w:sz w:val="18"/>
              </w:rPr>
            </w:pPr>
            <w:r>
              <w:rPr>
                <w:sz w:val="18"/>
                <w:szCs w:val="18"/>
              </w:rPr>
              <w:t xml:space="preserve">S3 y Subdocumentos 6, 7 y 8</w:t>
            </w:r>
          </w:p>
        </w:tc>
      </w:tr>
      <w:tr>
        <w:trPr>
          <w:cantSplit/>
        </w:trPr>
        <w:tc>
          <w:tcPr>
            <w:tcW w:w="3116" w:type="dxa"/>
            <w:vAlign w:val="top"/>
          </w:tcPr>
          <w:p>
            <w:pPr>
              <w:spacing w:before="40" w:after="40"/>
              <w:rPr>
                <w:sz w:val="18"/>
              </w:rPr>
            </w:pPr>
            <w:r>
              <w:rPr>
                <w:sz w:val="18"/>
                <w:szCs w:val="18"/>
              </w:rPr>
              <w:t xml:space="preserve">50. Para los camiones con GPS de otro proveedor la modalidad de datos promete jornada acreditada con un equipo que no identifica al conductor, y en la práctica su evidencia es la atestación del transportista</w:t>
            </w:r>
          </w:p>
        </w:tc>
        <w:tc>
          <w:tcPr>
            <w:tcW w:w="3116" w:type="dxa"/>
            <w:vAlign w:val="top"/>
          </w:tcPr>
          <w:p>
            <w:pPr>
              <w:spacing w:before="40" w:after="40"/>
              <w:rPr>
                <w:sz w:val="18"/>
              </w:rPr>
            </w:pPr>
            <w:r>
              <w:rPr>
                <w:sz w:val="18"/>
                <w:szCs w:val="18"/>
              </w:rPr>
              <w:t xml:space="preserve">Se acepta. Se declara el nivel real de evidencia por modalidad</w:t>
            </w:r>
          </w:p>
        </w:tc>
        <w:tc>
          <w:tcPr>
            <w:tcW w:w="3116" w:type="dxa"/>
            <w:vAlign w:val="top"/>
          </w:tcPr>
          <w:p>
            <w:pPr>
              <w:spacing w:before="40" w:after="40"/>
              <w:rPr>
                <w:sz w:val="18"/>
              </w:rPr>
            </w:pPr>
            <w:r>
              <w:rPr>
                <w:sz w:val="18"/>
                <w:szCs w:val="18"/>
              </w:rPr>
              <w:t xml:space="preserve">S3 1.9</w:t>
            </w:r>
          </w:p>
        </w:tc>
      </w:tr>
      <w:tr>
        <w:trPr>
          <w:cantSplit/>
        </w:trPr>
        <w:tc>
          <w:tcPr>
            <w:tcW w:w="3116" w:type="dxa"/>
            <w:vAlign w:val="top"/>
          </w:tcPr>
          <w:p>
            <w:pPr>
              <w:spacing w:before="40" w:after="40"/>
              <w:rPr>
                <w:sz w:val="18"/>
              </w:rPr>
            </w:pPr>
            <w:r>
              <w:rPr>
                <w:sz w:val="18"/>
                <w:szCs w:val="18"/>
              </w:rPr>
              <w:t xml:space="preserve">51. Se dice que los 29 criterios están comprometidos y solo ocho tienen meta, hito y medición</w:t>
            </w:r>
          </w:p>
        </w:tc>
        <w:tc>
          <w:tcPr>
            <w:tcW w:w="3116" w:type="dxa"/>
            <w:vAlign w:val="top"/>
          </w:tcPr>
          <w:p>
            <w:pPr>
              <w:spacing w:before="40" w:after="40"/>
              <w:rPr>
                <w:sz w:val="18"/>
              </w:rPr>
            </w:pPr>
            <w:r>
              <w:rPr>
                <w:sz w:val="18"/>
                <w:szCs w:val="18"/>
              </w:rPr>
              <w:t xml:space="preserve">Se acepta. Los 29 con meta y medición</w:t>
            </w:r>
          </w:p>
        </w:tc>
        <w:tc>
          <w:tcPr>
            <w:tcW w:w="3116" w:type="dxa"/>
            <w:vAlign w:val="top"/>
          </w:tcPr>
          <w:p>
            <w:pPr>
              <w:spacing w:before="40" w:after="40"/>
              <w:rPr>
                <w:sz w:val="18"/>
              </w:rPr>
            </w:pPr>
            <w:r>
              <w:rPr>
                <w:sz w:val="18"/>
                <w:szCs w:val="18"/>
              </w:rPr>
              <w:t xml:space="preserve">S3 1.10</w:t>
            </w:r>
          </w:p>
        </w:tc>
      </w:tr>
      <w:tr>
        <w:trPr>
          <w:cantSplit/>
        </w:trPr>
        <w:tc>
          <w:tcPr>
            <w:tcW w:w="3116" w:type="dxa"/>
            <w:vAlign w:val="top"/>
          </w:tcPr>
          <w:p>
            <w:pPr>
              <w:spacing w:before="40" w:after="40"/>
              <w:rPr>
                <w:sz w:val="18"/>
              </w:rPr>
            </w:pPr>
            <w:r>
              <w:rPr>
                <w:sz w:val="18"/>
                <w:szCs w:val="18"/>
              </w:rPr>
              <w:t xml:space="preserve">52. Códigos sin definir, decisión D-02 y supuesto S-09</w:t>
            </w:r>
          </w:p>
        </w:tc>
        <w:tc>
          <w:tcPr>
            <w:tcW w:w="3116" w:type="dxa"/>
            <w:vAlign w:val="top"/>
          </w:tcPr>
          <w:p>
            <w:pPr>
              <w:spacing w:before="40" w:after="40"/>
              <w:rPr>
                <w:sz w:val="18"/>
              </w:rPr>
            </w:pPr>
            <w:r>
              <w:rPr>
                <w:sz w:val="18"/>
                <w:szCs w:val="18"/>
              </w:rPr>
              <w:t xml:space="preserve">Se acepta. Se define cada código en su primera aparición</w:t>
            </w:r>
          </w:p>
        </w:tc>
        <w:tc>
          <w:tcPr>
            <w:tcW w:w="3116" w:type="dxa"/>
            <w:vAlign w:val="top"/>
          </w:tcPr>
          <w:p>
            <w:pPr>
              <w:spacing w:before="40" w:after="40"/>
              <w:rPr>
                <w:sz w:val="18"/>
              </w:rPr>
            </w:pPr>
            <w:r>
              <w:rPr>
                <w:sz w:val="18"/>
                <w:szCs w:val="18"/>
              </w:rPr>
              <w:t xml:space="preserve">S3 completo</w:t>
            </w:r>
          </w:p>
        </w:tc>
      </w:tr>
    </w:tbl>
    <w:p>
      <w:pPr>
        <w:spacing w:before="0" w:after="100"/>
      </w:pPr>
    </w:p>
    <w:p>
      <w:pPr>
        <w:pStyle w:val="Heading1"/>
        <w:keepNext/>
        <w:spacing w:before="320" w:after="120"/>
      </w:pPr>
      <w:r>
        <w:t xml:space="preserve">Subdocumento 4.1, arquitectura lógica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53. El diagrama de las ocho capas no muestra interfaces y no se explica qué contiene cada capa ni cómo se conectan</w:t>
            </w:r>
          </w:p>
        </w:tc>
        <w:tc>
          <w:tcPr>
            <w:tcW w:w="3116" w:type="dxa"/>
            <w:vAlign w:val="top"/>
          </w:tcPr>
          <w:p>
            <w:pPr>
              <w:spacing w:before="40" w:after="40"/>
              <w:rPr>
                <w:sz w:val="18"/>
              </w:rPr>
            </w:pPr>
            <w:r>
              <w:rPr>
                <w:sz w:val="18"/>
                <w:szCs w:val="18"/>
              </w:rPr>
              <w:t xml:space="preserve">Se acepta. Diagrama con interfaces y explicación componente por componente</w:t>
            </w:r>
          </w:p>
        </w:tc>
        <w:tc>
          <w:tcPr>
            <w:tcW w:w="3116" w:type="dxa"/>
            <w:vAlign w:val="top"/>
          </w:tcPr>
          <w:p>
            <w:pPr>
              <w:spacing w:before="40" w:after="40"/>
              <w:rPr>
                <w:sz w:val="18"/>
              </w:rPr>
            </w:pPr>
            <w:r>
              <w:rPr>
                <w:sz w:val="18"/>
                <w:szCs w:val="18"/>
              </w:rPr>
              <w:t xml:space="preserve">S4 1.1.2 y figura 1.1</w:t>
            </w:r>
          </w:p>
        </w:tc>
      </w:tr>
      <w:tr>
        <w:trPr>
          <w:cantSplit/>
        </w:trPr>
        <w:tc>
          <w:tcPr>
            <w:tcW w:w="3116" w:type="dxa"/>
            <w:vAlign w:val="top"/>
          </w:tcPr>
          <w:p>
            <w:pPr>
              <w:spacing w:before="40" w:after="40"/>
              <w:rPr>
                <w:sz w:val="18"/>
              </w:rPr>
            </w:pPr>
            <w:r>
              <w:rPr>
                <w:sz w:val="18"/>
                <w:szCs w:val="18"/>
              </w:rPr>
              <w:t xml:space="preserve">54. Componentes que aparecen solo como ícono, terminal de torre y pantalla de terreno, sin decir qué equipo es, qué software ejecuta, quién lo usa ni con qué se conecta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1.1.2</w:t>
            </w:r>
          </w:p>
        </w:tc>
      </w:tr>
      <w:tr>
        <w:trPr>
          <w:cantSplit/>
        </w:trPr>
        <w:tc>
          <w:tcPr>
            <w:tcW w:w="3116" w:type="dxa"/>
            <w:vAlign w:val="top"/>
          </w:tcPr>
          <w:p>
            <w:pPr>
              <w:spacing w:before="40" w:after="40"/>
              <w:rPr>
                <w:sz w:val="18"/>
              </w:rPr>
            </w:pPr>
            <w:r>
              <w:rPr>
                <w:sz w:val="18"/>
                <w:szCs w:val="18"/>
              </w:rPr>
              <w:t xml:space="preserve">55. No hay matriz de requerimiento a componente, ningún RF del Subdocumento 3 se ubica en un componente</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nueva sección</w:t>
            </w:r>
          </w:p>
        </w:tc>
      </w:tr>
      <w:tr>
        <w:trPr>
          <w:cantSplit/>
        </w:trPr>
        <w:tc>
          <w:tcPr>
            <w:tcW w:w="3116" w:type="dxa"/>
            <w:vAlign w:val="top"/>
          </w:tcPr>
          <w:p>
            <w:pPr>
              <w:spacing w:before="40" w:after="40"/>
              <w:rPr>
                <w:sz w:val="18"/>
              </w:rPr>
            </w:pPr>
            <w:r>
              <w:rPr>
                <w:sz w:val="18"/>
                <w:szCs w:val="18"/>
              </w:rPr>
              <w:t xml:space="preserve">56. No se mencionan los principios SOLID, las arquitecturas de referencia se reducen a ISO 42010 y los ambientes del SDLC están ausentes</w:t>
            </w:r>
          </w:p>
        </w:tc>
        <w:tc>
          <w:tcPr>
            <w:tcW w:w="3116" w:type="dxa"/>
            <w:vAlign w:val="top"/>
          </w:tcPr>
          <w:p>
            <w:pPr>
              <w:spacing w:before="40" w:after="40"/>
              <w:rPr>
                <w:sz w:val="18"/>
              </w:rPr>
            </w:pPr>
            <w:r>
              <w:rPr>
                <w:sz w:val="18"/>
                <w:szCs w:val="18"/>
              </w:rPr>
              <w:t xml:space="preserve">Se acepta. Se incorporan los tres. Se hace presente que el Formulario T-7 p.57 no los enumera entre las viñetas del Subdocumento 4</w:t>
            </w:r>
          </w:p>
        </w:tc>
        <w:tc>
          <w:tcPr>
            <w:tcW w:w="3116" w:type="dxa"/>
            <w:vAlign w:val="top"/>
          </w:tcPr>
          <w:p>
            <w:pPr>
              <w:spacing w:before="40" w:after="40"/>
              <w:rPr>
                <w:sz w:val="18"/>
              </w:rPr>
            </w:pPr>
            <w:r>
              <w:rPr>
                <w:sz w:val="18"/>
                <w:szCs w:val="18"/>
              </w:rPr>
              <w:t xml:space="preserve">S4 1.1 y nueva sección de ambientes</w:t>
            </w:r>
          </w:p>
        </w:tc>
      </w:tr>
      <w:tr>
        <w:trPr>
          <w:cantSplit/>
        </w:trPr>
        <w:tc>
          <w:tcPr>
            <w:tcW w:w="3116" w:type="dxa"/>
            <w:vAlign w:val="top"/>
          </w:tcPr>
          <w:p>
            <w:pPr>
              <w:spacing w:before="40" w:after="40"/>
              <w:rPr>
                <w:sz w:val="18"/>
              </w:rPr>
            </w:pPr>
            <w:r>
              <w:rPr>
                <w:sz w:val="18"/>
                <w:szCs w:val="18"/>
              </w:rPr>
              <w:t xml:space="preserve">57. El diagrama de secuencia de la asignación bloqueante es lo que se pedía pero está huérfano, el texto no lo cita ni lo recorre</w:t>
            </w:r>
          </w:p>
        </w:tc>
        <w:tc>
          <w:tcPr>
            <w:tcW w:w="3116" w:type="dxa"/>
            <w:vAlign w:val="top"/>
          </w:tcPr>
          <w:p>
            <w:pPr>
              <w:spacing w:before="40" w:after="40"/>
              <w:rPr>
                <w:sz w:val="18"/>
              </w:rPr>
            </w:pPr>
            <w:r>
              <w:rPr>
                <w:sz w:val="18"/>
                <w:szCs w:val="18"/>
              </w:rPr>
              <w:t xml:space="preserve">Se acepta. Se recorre en el texto y se agregan las secuencias de reconexión tras 72 horas, emisión sin cobertura y liquidación</w:t>
            </w:r>
          </w:p>
        </w:tc>
        <w:tc>
          <w:tcPr>
            <w:tcW w:w="3116" w:type="dxa"/>
            <w:vAlign w:val="top"/>
          </w:tcPr>
          <w:p>
            <w:pPr>
              <w:spacing w:before="40" w:after="40"/>
              <w:rPr>
                <w:sz w:val="18"/>
              </w:rPr>
            </w:pPr>
            <w:r>
              <w:rPr>
                <w:sz w:val="18"/>
                <w:szCs w:val="18"/>
              </w:rPr>
              <w:t xml:space="preserve">S4 1.1.8</w:t>
            </w:r>
          </w:p>
        </w:tc>
      </w:tr>
      <w:tr>
        <w:trPr>
          <w:cantSplit/>
        </w:trPr>
        <w:tc>
          <w:tcPr>
            <w:tcW w:w="3116" w:type="dxa"/>
            <w:vAlign w:val="top"/>
          </w:tcPr>
          <w:p>
            <w:pPr>
              <w:spacing w:before="40" w:after="40"/>
              <w:rPr>
                <w:sz w:val="18"/>
              </w:rPr>
            </w:pPr>
            <w:r>
              <w:rPr>
                <w:sz w:val="18"/>
                <w:szCs w:val="18"/>
              </w:rPr>
              <w:t xml:space="preserve">58. Frameworks y tecnologías viven en las figuras, el texto no las decide ni las justifica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1.2.8</w:t>
            </w:r>
          </w:p>
        </w:tc>
      </w:tr>
      <w:tr>
        <w:trPr>
          <w:cantSplit/>
        </w:trPr>
        <w:tc>
          <w:tcPr>
            <w:tcW w:w="3116" w:type="dxa"/>
            <w:vAlign w:val="top"/>
          </w:tcPr>
          <w:p>
            <w:pPr>
              <w:spacing w:before="40" w:after="40"/>
              <w:rPr>
                <w:sz w:val="18"/>
              </w:rPr>
            </w:pPr>
            <w:r>
              <w:rPr>
                <w:sz w:val="18"/>
                <w:szCs w:val="18"/>
              </w:rPr>
              <w:t xml:space="preserve">59. El modelo táctico no trae límites de contexto ni eventos, aunque la sección 1.1.15 lo promete</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1.1.15</w:t>
            </w:r>
          </w:p>
        </w:tc>
      </w:tr>
      <w:tr>
        <w:trPr>
          <w:cantSplit/>
        </w:trPr>
        <w:tc>
          <w:tcPr>
            <w:tcW w:w="3116" w:type="dxa"/>
            <w:vAlign w:val="top"/>
          </w:tcPr>
          <w:p>
            <w:pPr>
              <w:spacing w:before="40" w:after="40"/>
              <w:rPr>
                <w:sz w:val="18"/>
              </w:rPr>
            </w:pPr>
            <w:r>
              <w:rPr>
                <w:sz w:val="18"/>
                <w:szCs w:val="18"/>
              </w:rPr>
              <w:t xml:space="preserve">60. El estrangulamiento del sistema de 2013 no tiene ADR ni compara alternativas ni fundamento económico</w:t>
            </w:r>
          </w:p>
        </w:tc>
        <w:tc>
          <w:tcPr>
            <w:tcW w:w="3116" w:type="dxa"/>
            <w:vAlign w:val="top"/>
          </w:tcPr>
          <w:p>
            <w:pPr>
              <w:spacing w:before="40" w:after="40"/>
              <w:rPr>
                <w:sz w:val="18"/>
              </w:rPr>
            </w:pPr>
            <w:r>
              <w:rPr>
                <w:sz w:val="18"/>
                <w:szCs w:val="18"/>
              </w:rPr>
              <w:t xml:space="preserve">Se acepta. ADR con reemplazo completo, conservar e integrar y paquete de mercado</w:t>
            </w:r>
          </w:p>
        </w:tc>
        <w:tc>
          <w:tcPr>
            <w:tcW w:w="3116" w:type="dxa"/>
            <w:vAlign w:val="top"/>
          </w:tcPr>
          <w:p>
            <w:pPr>
              <w:spacing w:before="40" w:after="40"/>
              <w:rPr>
                <w:sz w:val="18"/>
              </w:rPr>
            </w:pPr>
            <w:r>
              <w:rPr>
                <w:sz w:val="18"/>
                <w:szCs w:val="18"/>
              </w:rPr>
              <w:t xml:space="preserve">S4 1.1.5</w:t>
            </w:r>
          </w:p>
        </w:tc>
      </w:tr>
      <w:tr>
        <w:trPr>
          <w:cantSplit/>
        </w:trPr>
        <w:tc>
          <w:tcPr>
            <w:tcW w:w="3116" w:type="dxa"/>
            <w:vAlign w:val="top"/>
          </w:tcPr>
          <w:p>
            <w:pPr>
              <w:spacing w:before="40" w:after="40"/>
              <w:rPr>
                <w:sz w:val="18"/>
              </w:rPr>
            </w:pPr>
            <w:r>
              <w:rPr>
                <w:sz w:val="18"/>
                <w:szCs w:val="18"/>
              </w:rPr>
              <w:t xml:space="preserve">61. El descarte de la banda ancha satelital queda registrado pero no aparece como ADR</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1.1.5</w:t>
            </w:r>
          </w:p>
        </w:tc>
      </w:tr>
      <w:tr>
        <w:trPr>
          <w:cantSplit/>
        </w:trPr>
        <w:tc>
          <w:tcPr>
            <w:tcW w:w="3116" w:type="dxa"/>
            <w:vAlign w:val="top"/>
          </w:tcPr>
          <w:p>
            <w:pPr>
              <w:spacing w:before="40" w:after="40"/>
              <w:rPr>
                <w:sz w:val="18"/>
              </w:rPr>
            </w:pPr>
            <w:r>
              <w:rPr>
                <w:sz w:val="18"/>
                <w:szCs w:val="18"/>
              </w:rPr>
              <w:t xml:space="preserve">62. Se afirma que el estilo arquitectónico se justifica con la volumetría sin justificarlo, y el numeral 2.3 de las Transversales pide comparar estilos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1.2.8</w:t>
            </w:r>
          </w:p>
        </w:tc>
      </w:tr>
      <w:tr>
        <w:trPr>
          <w:cantSplit/>
        </w:trPr>
        <w:tc>
          <w:tcPr>
            <w:tcW w:w="3116" w:type="dxa"/>
            <w:vAlign w:val="top"/>
          </w:tcPr>
          <w:p>
            <w:pPr>
              <w:spacing w:before="40" w:after="40"/>
              <w:rPr>
                <w:sz w:val="18"/>
              </w:rPr>
            </w:pPr>
            <w:r>
              <w:rPr>
                <w:sz w:val="18"/>
                <w:szCs w:val="18"/>
              </w:rPr>
              <w:t xml:space="preserve">63. El stack tecnológico no ha sido validado</w:t>
            </w:r>
          </w:p>
        </w:tc>
        <w:tc>
          <w:tcPr>
            <w:tcW w:w="3116" w:type="dxa"/>
            <w:vAlign w:val="top"/>
          </w:tcPr>
          <w:p>
            <w:pPr>
              <w:spacing w:before="40" w:after="40"/>
              <w:rPr>
                <w:sz w:val="18"/>
              </w:rPr>
            </w:pPr>
            <w:r>
              <w:rPr>
                <w:sz w:val="18"/>
                <w:szCs w:val="18"/>
              </w:rPr>
              <w:t xml:space="preserve">Se acepta. Validación con versión, fin de soporte y prueba de concepto</w:t>
            </w:r>
          </w:p>
        </w:tc>
        <w:tc>
          <w:tcPr>
            <w:tcW w:w="3116" w:type="dxa"/>
            <w:vAlign w:val="top"/>
          </w:tcPr>
          <w:p>
            <w:pPr>
              <w:spacing w:before="40" w:after="40"/>
              <w:rPr>
                <w:sz w:val="18"/>
              </w:rPr>
            </w:pPr>
            <w:r>
              <w:rPr>
                <w:sz w:val="18"/>
                <w:szCs w:val="18"/>
              </w:rPr>
              <w:t xml:space="preserve">S4 1.2.8</w:t>
            </w:r>
          </w:p>
        </w:tc>
      </w:tr>
    </w:tbl>
    <w:p>
      <w:pPr>
        <w:spacing w:before="0" w:after="100"/>
      </w:pPr>
    </w:p>
    <w:p>
      <w:pPr>
        <w:pStyle w:val="Heading1"/>
        <w:keepNext/>
        <w:spacing w:before="320" w:after="120"/>
      </w:pPr>
      <w:r>
        <w:t xml:space="preserve">Subdocumento 4.2, arquitectura física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64. Falta el diagrama de arquitectura física, la figura 1.8 son íconos y cajas sin SKU, redes virtuales, subredes, nodos, enlaces ni anchos de banda</w:t>
            </w:r>
          </w:p>
        </w:tc>
        <w:tc>
          <w:tcPr>
            <w:tcW w:w="3116" w:type="dxa"/>
            <w:vAlign w:val="top"/>
          </w:tcPr>
          <w:p>
            <w:pPr>
              <w:spacing w:before="40" w:after="40"/>
              <w:rPr>
                <w:sz w:val="18"/>
              </w:rPr>
            </w:pPr>
            <w:r>
              <w:rPr>
                <w:sz w:val="18"/>
                <w:szCs w:val="18"/>
              </w:rPr>
              <w:t xml:space="preserve">Se acepta. Diagrama físico con servicios, SKU, redes y enlaces</w:t>
            </w:r>
          </w:p>
        </w:tc>
        <w:tc>
          <w:tcPr>
            <w:tcW w:w="3116" w:type="dxa"/>
            <w:vAlign w:val="top"/>
          </w:tcPr>
          <w:p>
            <w:pPr>
              <w:spacing w:before="40" w:after="40"/>
              <w:rPr>
                <w:sz w:val="18"/>
              </w:rPr>
            </w:pPr>
            <w:r>
              <w:rPr>
                <w:sz w:val="18"/>
                <w:szCs w:val="18"/>
              </w:rPr>
              <w:t xml:space="preserve">S4 1.2.1 y figura 1.8</w:t>
            </w:r>
          </w:p>
        </w:tc>
      </w:tr>
      <w:tr>
        <w:trPr>
          <w:cantSplit/>
        </w:trPr>
        <w:tc>
          <w:tcPr>
            <w:tcW w:w="3116" w:type="dxa"/>
            <w:vAlign w:val="top"/>
          </w:tcPr>
          <w:p>
            <w:pPr>
              <w:spacing w:before="40" w:after="40"/>
              <w:rPr>
                <w:sz w:val="18"/>
              </w:rPr>
            </w:pPr>
            <w:r>
              <w:rPr>
                <w:sz w:val="18"/>
                <w:szCs w:val="18"/>
              </w:rPr>
              <w:t xml:space="preserve">65. No se dice qué componentes de Azure se usan ni con qué configuración, y las figuras se contradicen entre Data Explorer y TimescaleDB o Cosmos DB, y entre Kafka y Event Hubs</w:t>
            </w:r>
          </w:p>
        </w:tc>
        <w:tc>
          <w:tcPr>
            <w:tcW w:w="3116" w:type="dxa"/>
            <w:vAlign w:val="top"/>
          </w:tcPr>
          <w:p>
            <w:pPr>
              <w:spacing w:before="40" w:after="40"/>
              <w:rPr>
                <w:sz w:val="18"/>
              </w:rPr>
            </w:pPr>
            <w:r>
              <w:rPr>
                <w:sz w:val="18"/>
                <w:szCs w:val="18"/>
              </w:rPr>
              <w:t xml:space="preserve">Se acepta. Se decide cada motor y se declara su configuración</w:t>
            </w:r>
          </w:p>
        </w:tc>
        <w:tc>
          <w:tcPr>
            <w:tcW w:w="3116" w:type="dxa"/>
            <w:vAlign w:val="top"/>
          </w:tcPr>
          <w:p>
            <w:pPr>
              <w:spacing w:before="40" w:after="40"/>
              <w:rPr>
                <w:sz w:val="18"/>
              </w:rPr>
            </w:pPr>
            <w:r>
              <w:rPr>
                <w:sz w:val="18"/>
                <w:szCs w:val="18"/>
              </w:rPr>
              <w:t xml:space="preserve">S4 1.2.8 y S5</w:t>
            </w:r>
          </w:p>
        </w:tc>
      </w:tr>
      <w:tr>
        <w:trPr>
          <w:cantSplit/>
        </w:trPr>
        <w:tc>
          <w:tcPr>
            <w:tcW w:w="3116" w:type="dxa"/>
            <w:vAlign w:val="top"/>
          </w:tcPr>
          <w:p>
            <w:pPr>
              <w:spacing w:before="40" w:after="40"/>
              <w:rPr>
                <w:sz w:val="18"/>
              </w:rPr>
            </w:pPr>
            <w:r>
              <w:rPr>
                <w:sz w:val="18"/>
                <w:szCs w:val="18"/>
              </w:rPr>
              <w:t xml:space="preserve">66. La sala de 26 m² se compara ítem por ítem pero falta plano, carga eléctrica y térmica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1.2.6</w:t>
            </w:r>
          </w:p>
        </w:tc>
      </w:tr>
      <w:tr>
        <w:trPr>
          <w:cantSplit/>
        </w:trPr>
        <w:tc>
          <w:tcPr>
            <w:tcW w:w="3116" w:type="dxa"/>
            <w:vAlign w:val="top"/>
          </w:tcPr>
          <w:p>
            <w:pPr>
              <w:spacing w:before="40" w:after="40"/>
              <w:rPr>
                <w:sz w:val="18"/>
              </w:rPr>
            </w:pPr>
            <w:r>
              <w:rPr>
                <w:sz w:val="18"/>
                <w:szCs w:val="18"/>
              </w:rPr>
              <w:t xml:space="preserve">67. Ningún diagrama se cita desde el texto</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completo</w:t>
            </w:r>
          </w:p>
        </w:tc>
      </w:tr>
      <w:tr>
        <w:trPr>
          <w:cantSplit/>
        </w:trPr>
        <w:tc>
          <w:tcPr>
            <w:tcW w:w="3116" w:type="dxa"/>
            <w:vAlign w:val="top"/>
          </w:tcPr>
          <w:p>
            <w:pPr>
              <w:spacing w:before="40" w:after="40"/>
              <w:rPr>
                <w:sz w:val="18"/>
              </w:rPr>
            </w:pPr>
            <w:r>
              <w:rPr>
                <w:sz w:val="18"/>
                <w:szCs w:val="18"/>
              </w:rPr>
              <w:t xml:space="preserve">68. La sección 1.2.8 promete declarar cada producto con versión, fin de soporte y plan de actualización y no declara ninguno</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1.2.8</w:t>
            </w:r>
          </w:p>
        </w:tc>
      </w:tr>
      <w:tr>
        <w:trPr>
          <w:cantSplit/>
        </w:trPr>
        <w:tc>
          <w:tcPr>
            <w:tcW w:w="3116" w:type="dxa"/>
            <w:vAlign w:val="top"/>
          </w:tcPr>
          <w:p>
            <w:pPr>
              <w:spacing w:before="40" w:after="40"/>
              <w:rPr>
                <w:sz w:val="18"/>
              </w:rPr>
            </w:pPr>
            <w:r>
              <w:rPr>
                <w:sz w:val="18"/>
                <w:szCs w:val="18"/>
              </w:rPr>
              <w:t xml:space="preserve">69. El Anexo A no es el T-11, el Capítulo 11 del Caso exige qué comprar, cuánto y con qué características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Anexo A</w:t>
            </w:r>
          </w:p>
        </w:tc>
      </w:tr>
      <w:tr>
        <w:trPr>
          <w:cantSplit/>
        </w:trPr>
        <w:tc>
          <w:tcPr>
            <w:tcW w:w="3116" w:type="dxa"/>
            <w:vAlign w:val="top"/>
          </w:tcPr>
          <w:p>
            <w:pPr>
              <w:spacing w:before="40" w:after="40"/>
              <w:rPr>
                <w:sz w:val="18"/>
              </w:rPr>
            </w:pPr>
            <w:r>
              <w:rPr>
                <w:sz w:val="18"/>
                <w:szCs w:val="18"/>
              </w:rPr>
              <w:t xml:space="preserve">70. Sin cantidades, el parque oscila entre 374 y «según adhesión» y nunca se explicita que los equipos de terceros no se reemplazan</w:t>
            </w:r>
          </w:p>
        </w:tc>
        <w:tc>
          <w:tcPr>
            <w:tcW w:w="3116" w:type="dxa"/>
            <w:vAlign w:val="top"/>
          </w:tcPr>
          <w:p>
            <w:pPr>
              <w:spacing w:before="40" w:after="40"/>
              <w:rPr>
                <w:sz w:val="18"/>
              </w:rPr>
            </w:pPr>
            <w:r>
              <w:rPr>
                <w:sz w:val="18"/>
                <w:szCs w:val="18"/>
              </w:rPr>
              <w:t xml:space="preserve">Se acepta. Cantidades cerradas por población de flota</w:t>
            </w:r>
          </w:p>
        </w:tc>
        <w:tc>
          <w:tcPr>
            <w:tcW w:w="3116" w:type="dxa"/>
            <w:vAlign w:val="top"/>
          </w:tcPr>
          <w:p>
            <w:pPr>
              <w:spacing w:before="40" w:after="40"/>
              <w:rPr>
                <w:sz w:val="18"/>
              </w:rPr>
            </w:pPr>
            <w:r>
              <w:rPr>
                <w:sz w:val="18"/>
                <w:szCs w:val="18"/>
              </w:rPr>
              <w:t xml:space="preserve">S4 Anexo A</w:t>
            </w:r>
          </w:p>
        </w:tc>
      </w:tr>
      <w:tr>
        <w:trPr>
          <w:cantSplit/>
        </w:trPr>
        <w:tc>
          <w:tcPr>
            <w:tcW w:w="3116" w:type="dxa"/>
            <w:vAlign w:val="top"/>
          </w:tcPr>
          <w:p>
            <w:pPr>
              <w:spacing w:before="40" w:after="40"/>
              <w:rPr>
                <w:sz w:val="18"/>
              </w:rPr>
            </w:pPr>
            <w:r>
              <w:rPr>
                <w:sz w:val="18"/>
                <w:szCs w:val="18"/>
              </w:rPr>
              <w:t xml:space="preserve">71. Se dice que hay dieciocho componentes en la región primaria y la tabla suma veinte, y la matriz cubre 14 de los 34</w:t>
            </w:r>
          </w:p>
        </w:tc>
        <w:tc>
          <w:tcPr>
            <w:tcW w:w="3116" w:type="dxa"/>
            <w:vAlign w:val="top"/>
          </w:tcPr>
          <w:p>
            <w:pPr>
              <w:spacing w:before="40" w:after="40"/>
              <w:rPr>
                <w:sz w:val="18"/>
              </w:rPr>
            </w:pPr>
            <w:r>
              <w:rPr>
                <w:sz w:val="18"/>
                <w:szCs w:val="18"/>
              </w:rPr>
              <w:t xml:space="preserve">Se acepta. Conteo corregido y matriz completa</w:t>
            </w:r>
          </w:p>
        </w:tc>
        <w:tc>
          <w:tcPr>
            <w:tcW w:w="3116" w:type="dxa"/>
            <w:vAlign w:val="top"/>
          </w:tcPr>
          <w:p>
            <w:pPr>
              <w:spacing w:before="40" w:after="40"/>
              <w:rPr>
                <w:sz w:val="18"/>
              </w:rPr>
            </w:pPr>
            <w:r>
              <w:rPr>
                <w:sz w:val="18"/>
                <w:szCs w:val="18"/>
              </w:rPr>
              <w:t xml:space="preserve">S4 Anexo A</w:t>
            </w:r>
          </w:p>
        </w:tc>
      </w:tr>
      <w:tr>
        <w:trPr>
          <w:cantSplit/>
        </w:trPr>
        <w:tc>
          <w:tcPr>
            <w:tcW w:w="3116" w:type="dxa"/>
            <w:vAlign w:val="top"/>
          </w:tcPr>
          <w:p>
            <w:pPr>
              <w:spacing w:before="40" w:after="40"/>
              <w:rPr>
                <w:sz w:val="18"/>
              </w:rPr>
            </w:pPr>
            <w:r>
              <w:rPr>
                <w:sz w:val="18"/>
                <w:szCs w:val="18"/>
              </w:rPr>
              <w:t xml:space="preserve">72. La región secundaria no tiene nombre y el Artículo 16.3 exige declararla</w:t>
            </w:r>
          </w:p>
        </w:tc>
        <w:tc>
          <w:tcPr>
            <w:tcW w:w="3116" w:type="dxa"/>
            <w:vAlign w:val="top"/>
          </w:tcPr>
          <w:p>
            <w:pPr>
              <w:spacing w:before="40" w:after="40"/>
              <w:rPr>
                <w:sz w:val="18"/>
              </w:rPr>
            </w:pPr>
            <w:r>
              <w:rPr>
                <w:sz w:val="18"/>
                <w:szCs w:val="18"/>
              </w:rPr>
              <w:t xml:space="preserve">Se acepta. Se nombra la región y se concilia con el Subdocumento 5</w:t>
            </w:r>
          </w:p>
        </w:tc>
        <w:tc>
          <w:tcPr>
            <w:tcW w:w="3116" w:type="dxa"/>
            <w:vAlign w:val="top"/>
          </w:tcPr>
          <w:p>
            <w:pPr>
              <w:spacing w:before="40" w:after="40"/>
              <w:rPr>
                <w:sz w:val="18"/>
              </w:rPr>
            </w:pPr>
            <w:r>
              <w:rPr>
                <w:sz w:val="18"/>
                <w:szCs w:val="18"/>
              </w:rPr>
              <w:t xml:space="preserve">S4 1.2.5</w:t>
            </w:r>
          </w:p>
        </w:tc>
      </w:tr>
      <w:tr>
        <w:trPr>
          <w:cantSplit/>
        </w:trPr>
        <w:tc>
          <w:tcPr>
            <w:tcW w:w="3116" w:type="dxa"/>
            <w:vAlign w:val="top"/>
          </w:tcPr>
          <w:p>
            <w:pPr>
              <w:spacing w:before="40" w:after="40"/>
              <w:rPr>
                <w:sz w:val="18"/>
              </w:rPr>
            </w:pPr>
            <w:r>
              <w:rPr>
                <w:sz w:val="18"/>
                <w:szCs w:val="18"/>
              </w:rPr>
              <w:t xml:space="preserve">73. Los 8 GB del dispositivo no tienen cálculo, la derivación propia da cerca de 10 MB y las 288 horas de cierre fronterizo cerca de 40 MB</w:t>
            </w:r>
          </w:p>
        </w:tc>
        <w:tc>
          <w:tcPr>
            <w:tcW w:w="3116" w:type="dxa"/>
            <w:vAlign w:val="top"/>
          </w:tcPr>
          <w:p>
            <w:pPr>
              <w:spacing w:before="40" w:after="40"/>
              <w:rPr>
                <w:sz w:val="18"/>
              </w:rPr>
            </w:pPr>
            <w:r>
              <w:rPr>
                <w:sz w:val="18"/>
                <w:szCs w:val="18"/>
              </w:rPr>
              <w:t xml:space="preserve">Se acepta. Se deriva la capacidad o se ajusta a lo que el cálculo sostiene</w:t>
            </w:r>
          </w:p>
        </w:tc>
        <w:tc>
          <w:tcPr>
            <w:tcW w:w="3116" w:type="dxa"/>
            <w:vAlign w:val="top"/>
          </w:tcPr>
          <w:p>
            <w:pPr>
              <w:spacing w:before="40" w:after="40"/>
              <w:rPr>
                <w:sz w:val="18"/>
              </w:rPr>
            </w:pPr>
            <w:r>
              <w:rPr>
                <w:sz w:val="18"/>
                <w:szCs w:val="18"/>
              </w:rPr>
              <w:t xml:space="preserve">S4 1.2.3</w:t>
            </w:r>
          </w:p>
        </w:tc>
      </w:tr>
      <w:tr>
        <w:trPr>
          <w:cantSplit/>
        </w:trPr>
        <w:tc>
          <w:tcPr>
            <w:tcW w:w="3116" w:type="dxa"/>
            <w:vAlign w:val="top"/>
          </w:tcPr>
          <w:p>
            <w:pPr>
              <w:spacing w:before="40" w:after="40"/>
              <w:rPr>
                <w:sz w:val="18"/>
              </w:rPr>
            </w:pPr>
            <w:r>
              <w:rPr>
                <w:sz w:val="18"/>
                <w:szCs w:val="18"/>
              </w:rPr>
              <w:t xml:space="preserve">74. La sincronización en 20 minutos por camión se repite como requisito y no se dimensiona, cientos de unidades saliendo de una sombra no caben en esa ventana</w:t>
            </w:r>
          </w:p>
        </w:tc>
        <w:tc>
          <w:tcPr>
            <w:tcW w:w="3116" w:type="dxa"/>
            <w:vAlign w:val="top"/>
          </w:tcPr>
          <w:p>
            <w:pPr>
              <w:spacing w:before="40" w:after="40"/>
              <w:rPr>
                <w:sz w:val="18"/>
              </w:rPr>
            </w:pPr>
            <w:r>
              <w:rPr>
                <w:sz w:val="18"/>
                <w:szCs w:val="18"/>
              </w:rPr>
              <w:t xml:space="preserve">Se acepta. Se dimensiona la reconexión masiva y se declara el diseño que la absorbe</w:t>
            </w:r>
          </w:p>
        </w:tc>
        <w:tc>
          <w:tcPr>
            <w:tcW w:w="3116" w:type="dxa"/>
            <w:vAlign w:val="top"/>
          </w:tcPr>
          <w:p>
            <w:pPr>
              <w:spacing w:before="40" w:after="40"/>
              <w:rPr>
                <w:sz w:val="18"/>
              </w:rPr>
            </w:pPr>
            <w:r>
              <w:rPr>
                <w:sz w:val="18"/>
                <w:szCs w:val="18"/>
              </w:rPr>
              <w:t xml:space="preserve">S4 1.2.9</w:t>
            </w:r>
          </w:p>
        </w:tc>
      </w:tr>
      <w:tr>
        <w:trPr>
          <w:cantSplit/>
        </w:trPr>
        <w:tc>
          <w:tcPr>
            <w:tcW w:w="3116" w:type="dxa"/>
            <w:vAlign w:val="top"/>
          </w:tcPr>
          <w:p>
            <w:pPr>
              <w:spacing w:before="40" w:after="40"/>
              <w:rPr>
                <w:sz w:val="18"/>
              </w:rPr>
            </w:pPr>
            <w:r>
              <w:rPr>
                <w:sz w:val="18"/>
                <w:szCs w:val="18"/>
              </w:rPr>
              <w:t xml:space="preserve">75. Ausentes los eventos por segundo, el TPS del peak de asignación, el volumen transaccional anual, los datos a migrar, el ancho de banda por terminal y la mesa de ayuda</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1.2.9</w:t>
            </w:r>
          </w:p>
        </w:tc>
      </w:tr>
      <w:tr>
        <w:trPr>
          <w:cantSplit/>
        </w:trPr>
        <w:tc>
          <w:tcPr>
            <w:tcW w:w="3116" w:type="dxa"/>
            <w:vAlign w:val="top"/>
          </w:tcPr>
          <w:p>
            <w:pPr>
              <w:spacing w:before="40" w:after="40"/>
              <w:rPr>
                <w:sz w:val="18"/>
              </w:rPr>
            </w:pPr>
            <w:r>
              <w:rPr>
                <w:sz w:val="18"/>
                <w:szCs w:val="18"/>
              </w:rPr>
              <w:t xml:space="preserve">76. La restricción 8 fija al sistema contable como único emisor del documento electrónico y el mecanismo propuesto convierte al dispositivo en emisor, y la consulta citada bajo el número 15 no está en la tabla del Subdocumento 3, que termina en C-11</w:t>
            </w:r>
          </w:p>
        </w:tc>
        <w:tc>
          <w:tcPr>
            <w:tcW w:w="3116" w:type="dxa"/>
            <w:vAlign w:val="top"/>
          </w:tcPr>
          <w:p>
            <w:pPr>
              <w:spacing w:before="40" w:after="40"/>
              <w:rPr>
                <w:sz w:val="18"/>
              </w:rPr>
            </w:pPr>
            <w:r>
              <w:rPr>
                <w:sz w:val="18"/>
                <w:szCs w:val="18"/>
              </w:rPr>
              <w:t xml:space="preserve">Se acepta la observación de fondo. La emisión se resuelve manteniendo al sistema contable como emisor. Sobre la referencia, la consulta existe en el pliego oficial de 21 consultas tramitado el 01-09-2026, y la discrepancia se origina en que el Subdocumento 3 usa una numeración interna C-01 a C-11 distinta de la del pliego. Se adjunta el pliego y se unifica la numeración</w:t>
            </w:r>
          </w:p>
        </w:tc>
        <w:tc>
          <w:tcPr>
            <w:tcW w:w="3116" w:type="dxa"/>
            <w:vAlign w:val="top"/>
          </w:tcPr>
          <w:p>
            <w:pPr>
              <w:spacing w:before="40" w:after="40"/>
              <w:rPr>
                <w:sz w:val="18"/>
              </w:rPr>
            </w:pPr>
            <w:r>
              <w:rPr>
                <w:sz w:val="18"/>
                <w:szCs w:val="18"/>
              </w:rPr>
              <w:t xml:space="preserve">S4 1.1.11, S3 1.12 y anexo del pliego</w:t>
            </w:r>
          </w:p>
        </w:tc>
      </w:tr>
      <w:tr>
        <w:trPr>
          <w:cantSplit/>
        </w:trPr>
        <w:tc>
          <w:tcPr>
            <w:tcW w:w="3116" w:type="dxa"/>
            <w:vAlign w:val="top"/>
          </w:tcPr>
          <w:p>
            <w:pPr>
              <w:spacing w:before="40" w:after="40"/>
              <w:rPr>
                <w:sz w:val="18"/>
              </w:rPr>
            </w:pPr>
            <w:r>
              <w:rPr>
                <w:sz w:val="18"/>
                <w:szCs w:val="18"/>
              </w:rPr>
              <w:t xml:space="preserve">77. El equipo de TI de nueve personas no se menciona y el RT-03.05 se cita sin listar los servicios administrados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1.2.8</w:t>
            </w:r>
          </w:p>
        </w:tc>
      </w:tr>
      <w:tr>
        <w:trPr>
          <w:cantSplit/>
        </w:trPr>
        <w:tc>
          <w:tcPr>
            <w:tcW w:w="3116" w:type="dxa"/>
            <w:vAlign w:val="top"/>
          </w:tcPr>
          <w:p>
            <w:pPr>
              <w:spacing w:before="40" w:after="40"/>
              <w:rPr>
                <w:sz w:val="18"/>
              </w:rPr>
            </w:pPr>
            <w:r>
              <w:rPr>
                <w:sz w:val="18"/>
                <w:szCs w:val="18"/>
              </w:rPr>
              <w:t xml:space="preserve">78. Se tratan los tres proveedores de GPS y los 34 camiones sin equipo pero no se dice qué se instala en esos 34 ni cómo conviven los dispositivos propios con los equipos ajenos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1.2.2</w:t>
            </w:r>
          </w:p>
        </w:tc>
      </w:tr>
      <w:tr>
        <w:trPr>
          <w:cantSplit/>
        </w:trPr>
        <w:tc>
          <w:tcPr>
            <w:tcW w:w="3116" w:type="dxa"/>
            <w:vAlign w:val="top"/>
          </w:tcPr>
          <w:p>
            <w:pPr>
              <w:spacing w:before="40" w:after="40"/>
              <w:rPr>
                <w:sz w:val="18"/>
              </w:rPr>
            </w:pPr>
            <w:r>
              <w:rPr>
                <w:sz w:val="18"/>
                <w:szCs w:val="18"/>
              </w:rPr>
              <w:t xml:space="preserve">79. La recuperación ante desastres y la continuidad se separan con argumento sísmico pero no se fundamenta su factibilidad</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1.2.5</w:t>
            </w:r>
          </w:p>
        </w:tc>
      </w:tr>
      <w:tr>
        <w:trPr>
          <w:cantSplit/>
        </w:trPr>
        <w:tc>
          <w:tcPr>
            <w:tcW w:w="3116" w:type="dxa"/>
            <w:vAlign w:val="top"/>
          </w:tcPr>
          <w:p>
            <w:pPr>
              <w:spacing w:before="40" w:after="40"/>
              <w:rPr>
                <w:sz w:val="18"/>
              </w:rPr>
            </w:pPr>
            <w:r>
              <w:rPr>
                <w:sz w:val="18"/>
                <w:szCs w:val="18"/>
              </w:rPr>
              <w:t xml:space="preserve">80. Los respaldos aparecen en una sola fila y no hay modelo Zero Trust explícito ni superficie de exposición</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S4, nueva sección de seguridad</w:t>
            </w:r>
          </w:p>
        </w:tc>
      </w:tr>
    </w:tbl>
    <w:p>
      <w:pPr>
        <w:spacing w:before="0" w:after="100"/>
      </w:pPr>
    </w:p>
    <w:p>
      <w:pPr>
        <w:pStyle w:val="Heading1"/>
        <w:keepNext/>
        <w:spacing w:before="320" w:after="120"/>
      </w:pPr>
      <w:r>
        <w:t xml:space="preserve">Subdocumento 5, modelo y gestión de datos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81. El diccionario cubre seis entidades y ninguna es la evidencia de jornada, que el Capítulo 19 del Caso pide diseñar para resistir una impugnación</w:t>
            </w:r>
          </w:p>
        </w:tc>
        <w:tc>
          <w:tcPr>
            <w:tcW w:w="3116" w:type="dxa"/>
            <w:vAlign w:val="top"/>
          </w:tcPr>
          <w:p>
            <w:pPr>
              <w:spacing w:before="40" w:after="40"/>
              <w:rPr>
                <w:sz w:val="18"/>
              </w:rPr>
            </w:pPr>
            <w:r>
              <w:rPr>
                <w:sz w:val="18"/>
                <w:szCs w:val="18"/>
              </w:rPr>
              <w:t xml:space="preserve">Se acepta. Entidad de evidencia con fuente, nivel de la cascada, sello de integridad y retención</w:t>
            </w:r>
          </w:p>
        </w:tc>
        <w:tc>
          <w:tcPr>
            <w:tcW w:w="3116" w:type="dxa"/>
            <w:vAlign w:val="top"/>
          </w:tcPr>
          <w:p>
            <w:pPr>
              <w:spacing w:before="40" w:after="40"/>
              <w:rPr>
                <w:sz w:val="18"/>
              </w:rPr>
            </w:pPr>
            <w:r>
              <w:rPr>
                <w:sz w:val="18"/>
                <w:szCs w:val="18"/>
              </w:rPr>
              <w:t xml:space="preserve">S5 1.7</w:t>
            </w:r>
          </w:p>
        </w:tc>
      </w:tr>
      <w:tr>
        <w:trPr>
          <w:cantSplit/>
        </w:trPr>
        <w:tc>
          <w:tcPr>
            <w:tcW w:w="3116" w:type="dxa"/>
            <w:vAlign w:val="top"/>
          </w:tcPr>
          <w:p>
            <w:pPr>
              <w:spacing w:before="40" w:after="40"/>
              <w:rPr>
                <w:sz w:val="18"/>
              </w:rPr>
            </w:pPr>
            <w:r>
              <w:rPr>
                <w:sz w:val="18"/>
                <w:szCs w:val="18"/>
              </w:rPr>
              <w:t xml:space="preserve">82. No hay diagrama entidad relación</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S5 1.7</w:t>
            </w:r>
          </w:p>
        </w:tc>
      </w:tr>
      <w:tr>
        <w:trPr>
          <w:cantSplit/>
        </w:trPr>
        <w:tc>
          <w:tcPr>
            <w:tcW w:w="3116" w:type="dxa"/>
            <w:vAlign w:val="top"/>
          </w:tcPr>
          <w:p>
            <w:pPr>
              <w:spacing w:before="40" w:after="40"/>
              <w:rPr>
                <w:sz w:val="18"/>
              </w:rPr>
            </w:pPr>
            <w:r>
              <w:rPr>
                <w:sz w:val="18"/>
                <w:szCs w:val="18"/>
              </w:rPr>
              <w:t xml:space="preserve">83. Contradicción de residencia, la copia fuera de sitio queda en Azure East US 2 mientras el Subdocumento 4 sostiene residencia en Chile</w:t>
            </w:r>
          </w:p>
        </w:tc>
        <w:tc>
          <w:tcPr>
            <w:tcW w:w="3116" w:type="dxa"/>
            <w:vAlign w:val="top"/>
          </w:tcPr>
          <w:p>
            <w:pPr>
              <w:spacing w:before="40" w:after="40"/>
              <w:rPr>
                <w:sz w:val="18"/>
              </w:rPr>
            </w:pPr>
            <w:r>
              <w:rPr>
                <w:sz w:val="18"/>
                <w:szCs w:val="18"/>
              </w:rPr>
              <w:t xml:space="preserve">Se acepta. Región sudamericana alineada con el Subdocumento 4</w:t>
            </w:r>
          </w:p>
        </w:tc>
        <w:tc>
          <w:tcPr>
            <w:tcW w:w="3116" w:type="dxa"/>
            <w:vAlign w:val="top"/>
          </w:tcPr>
          <w:p>
            <w:pPr>
              <w:spacing w:before="40" w:after="40"/>
              <w:rPr>
                <w:sz w:val="18"/>
              </w:rPr>
            </w:pPr>
            <w:r>
              <w:rPr>
                <w:sz w:val="18"/>
                <w:szCs w:val="18"/>
              </w:rPr>
              <w:t xml:space="preserve">S5 1.9 y S4 1.2.5</w:t>
            </w:r>
          </w:p>
        </w:tc>
      </w:tr>
      <w:tr>
        <w:trPr>
          <w:cantSplit/>
        </w:trPr>
        <w:tc>
          <w:tcPr>
            <w:tcW w:w="3116" w:type="dxa"/>
            <w:vAlign w:val="top"/>
          </w:tcPr>
          <w:p>
            <w:pPr>
              <w:spacing w:before="40" w:after="40"/>
              <w:rPr>
                <w:sz w:val="18"/>
              </w:rPr>
            </w:pPr>
            <w:r>
              <w:rPr>
                <w:sz w:val="18"/>
                <w:szCs w:val="18"/>
              </w:rPr>
              <w:t xml:space="preserve">84. El motor de series de tiempo y el bus quedan abiertos</w:t>
            </w:r>
          </w:p>
        </w:tc>
        <w:tc>
          <w:tcPr>
            <w:tcW w:w="3116" w:type="dxa"/>
            <w:vAlign w:val="top"/>
          </w:tcPr>
          <w:p>
            <w:pPr>
              <w:spacing w:before="40" w:after="40"/>
              <w:rPr>
                <w:sz w:val="18"/>
              </w:rPr>
            </w:pPr>
            <w:r>
              <w:rPr>
                <w:sz w:val="18"/>
                <w:szCs w:val="18"/>
              </w:rPr>
              <w:t xml:space="preserve">Se acepta. Se decide cada uno</w:t>
            </w:r>
          </w:p>
        </w:tc>
        <w:tc>
          <w:tcPr>
            <w:tcW w:w="3116" w:type="dxa"/>
            <w:vAlign w:val="top"/>
          </w:tcPr>
          <w:p>
            <w:pPr>
              <w:spacing w:before="40" w:after="40"/>
              <w:rPr>
                <w:sz w:val="18"/>
              </w:rPr>
            </w:pPr>
            <w:r>
              <w:rPr>
                <w:sz w:val="18"/>
                <w:szCs w:val="18"/>
              </w:rPr>
              <w:t xml:space="preserve">S5 1.5 y S4 1.2.8</w:t>
            </w:r>
          </w:p>
        </w:tc>
      </w:tr>
      <w:tr>
        <w:trPr>
          <w:cantSplit/>
        </w:trPr>
        <w:tc>
          <w:tcPr>
            <w:tcW w:w="3116" w:type="dxa"/>
            <w:vAlign w:val="top"/>
          </w:tcPr>
          <w:p>
            <w:pPr>
              <w:spacing w:before="40" w:after="40"/>
              <w:rPr>
                <w:sz w:val="18"/>
              </w:rPr>
            </w:pPr>
            <w:r>
              <w:rPr>
                <w:sz w:val="18"/>
                <w:szCs w:val="18"/>
              </w:rPr>
              <w:t xml:space="preserve">85. La sección 1.1 es la bitácora interna del grupo, el cliente no evalúa qué versiones descartó el proponente</w:t>
            </w:r>
          </w:p>
        </w:tc>
        <w:tc>
          <w:tcPr>
            <w:tcW w:w="3116" w:type="dxa"/>
            <w:vAlign w:val="top"/>
          </w:tcPr>
          <w:p>
            <w:pPr>
              <w:spacing w:before="40" w:after="40"/>
              <w:rPr>
                <w:sz w:val="18"/>
              </w:rPr>
            </w:pPr>
            <w:r>
              <w:rPr>
                <w:sz w:val="18"/>
                <w:szCs w:val="18"/>
              </w:rPr>
              <w:t xml:space="preserve">Se acepta. Se elimina</w:t>
            </w:r>
          </w:p>
        </w:tc>
        <w:tc>
          <w:tcPr>
            <w:tcW w:w="3116" w:type="dxa"/>
            <w:vAlign w:val="top"/>
          </w:tcPr>
          <w:p>
            <w:pPr>
              <w:spacing w:before="40" w:after="40"/>
              <w:rPr>
                <w:sz w:val="18"/>
              </w:rPr>
            </w:pPr>
            <w:r>
              <w:rPr>
                <w:sz w:val="18"/>
                <w:szCs w:val="18"/>
              </w:rPr>
              <w:t xml:space="preserve">S5 1.1</w:t>
            </w:r>
          </w:p>
        </w:tc>
      </w:tr>
      <w:tr>
        <w:trPr>
          <w:cantSplit/>
        </w:trPr>
        <w:tc>
          <w:tcPr>
            <w:tcW w:w="3116" w:type="dxa"/>
            <w:vAlign w:val="top"/>
          </w:tcPr>
          <w:p>
            <w:pPr>
              <w:spacing w:before="40" w:after="40"/>
              <w:rPr>
                <w:sz w:val="18"/>
              </w:rPr>
            </w:pPr>
            <w:r>
              <w:rPr>
                <w:sz w:val="18"/>
                <w:szCs w:val="18"/>
              </w:rPr>
              <w:t xml:space="preserve">86. Prosa hinchada y dos figuras en 21 páginas, no citadas desde el texto</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S5 completo</w:t>
            </w:r>
          </w:p>
        </w:tc>
      </w:tr>
      <w:tr>
        <w:trPr>
          <w:cantSplit/>
        </w:trPr>
        <w:tc>
          <w:tcPr>
            <w:tcW w:w="3116" w:type="dxa"/>
            <w:vAlign w:val="top"/>
          </w:tcPr>
          <w:p>
            <w:pPr>
              <w:spacing w:before="40" w:after="40"/>
              <w:rPr>
                <w:sz w:val="18"/>
              </w:rPr>
            </w:pPr>
            <w:r>
              <w:rPr>
                <w:sz w:val="18"/>
                <w:szCs w:val="18"/>
              </w:rPr>
              <w:t xml:space="preserve">87. El tratamiento de la revocación del consentimiento frente a la retención legal queda pendiente de validar</w:t>
            </w:r>
          </w:p>
        </w:tc>
        <w:tc>
          <w:tcPr>
            <w:tcW w:w="3116" w:type="dxa"/>
            <w:vAlign w:val="top"/>
          </w:tcPr>
          <w:p>
            <w:pPr>
              <w:spacing w:before="40" w:after="40"/>
              <w:rPr>
                <w:sz w:val="18"/>
              </w:rPr>
            </w:pPr>
            <w:r>
              <w:rPr>
                <w:sz w:val="18"/>
                <w:szCs w:val="18"/>
              </w:rPr>
              <w:t xml:space="preserve">Se acepta. Se fundamenta la solución técnica y legal</w:t>
            </w:r>
          </w:p>
        </w:tc>
        <w:tc>
          <w:tcPr>
            <w:tcW w:w="3116" w:type="dxa"/>
            <w:vAlign w:val="top"/>
          </w:tcPr>
          <w:p>
            <w:pPr>
              <w:spacing w:before="40" w:after="40"/>
              <w:rPr>
                <w:sz w:val="18"/>
              </w:rPr>
            </w:pPr>
            <w:r>
              <w:rPr>
                <w:sz w:val="18"/>
                <w:szCs w:val="18"/>
              </w:rPr>
              <w:t xml:space="preserve">S5 1.11</w:t>
            </w:r>
          </w:p>
        </w:tc>
      </w:tr>
    </w:tbl>
    <w:p>
      <w:pPr>
        <w:spacing w:before="0" w:after="100"/>
      </w:pPr>
    </w:p>
    <w:p>
      <w:pPr>
        <w:pStyle w:val="Heading1"/>
        <w:keepNext/>
        <w:spacing w:before="320" w:after="120"/>
      </w:pPr>
      <w:r>
        <w:t xml:space="preserve">Subdocumento 13, innovaciones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Observación</w:t>
            </w:r>
          </w:p>
        </w:tc>
        <w:tc>
          <w:tcPr>
            <w:tcW w:w="3116" w:type="dxa"/>
            <w:shd w:val="clear" w:fill="EDF2F8"/>
            <w:vAlign w:val="top"/>
          </w:tcPr>
          <w:p>
            <w:pPr>
              <w:spacing w:before="40" w:after="40"/>
              <w:rPr>
                <w:sz w:val="18"/>
              </w:rPr>
            </w:pPr>
            <w:r>
              <w:rPr>
                <w:b/>
                <w:sz w:val="18"/>
                <w:szCs w:val="18"/>
              </w:rPr>
              <w:t xml:space="preserve">Respuesta</w:t>
            </w:r>
          </w:p>
        </w:tc>
        <w:tc>
          <w:tcPr>
            <w:tcW w:w="3116" w:type="dxa"/>
            <w:shd w:val="clear" w:fill="EDF2F8"/>
            <w:vAlign w:val="top"/>
          </w:tcPr>
          <w:p>
            <w:pPr>
              <w:spacing w:before="40" w:after="40"/>
              <w:rPr>
                <w:sz w:val="18"/>
              </w:rPr>
            </w:pPr>
            <w:r>
              <w:rPr>
                <w:b/>
                <w:sz w:val="18"/>
                <w:szCs w:val="18"/>
              </w:rPr>
              <w:t xml:space="preserve">Sección modificada</w:t>
            </w:r>
          </w:p>
        </w:tc>
      </w:tr>
      <w:tr>
        <w:trPr>
          <w:cantSplit/>
        </w:trPr>
        <w:tc>
          <w:tcPr>
            <w:tcW w:w="3116" w:type="dxa"/>
            <w:vAlign w:val="top"/>
          </w:tcPr>
          <w:p>
            <w:pPr>
              <w:spacing w:before="40" w:after="40"/>
              <w:rPr>
                <w:sz w:val="18"/>
              </w:rPr>
            </w:pPr>
            <w:r>
              <w:rPr>
                <w:sz w:val="18"/>
                <w:szCs w:val="18"/>
              </w:rPr>
              <w:t xml:space="preserve">88. La innovación tipo 3 es el RT-03.10, el RT-03.13, los criterios 8 y 9 y la decisión 4, es una funcionalidad exigida presentada como innovación y el Artículo 30 lo prohíbe</w:t>
            </w:r>
          </w:p>
        </w:tc>
        <w:tc>
          <w:tcPr>
            <w:tcW w:w="3116" w:type="dxa"/>
            <w:vAlign w:val="top"/>
          </w:tcPr>
          <w:p>
            <w:pPr>
              <w:spacing w:before="40" w:after="40"/>
              <w:rPr>
                <w:sz w:val="18"/>
              </w:rPr>
            </w:pPr>
            <w:r>
              <w:rPr>
                <w:sz w:val="18"/>
                <w:szCs w:val="18"/>
              </w:rPr>
              <w:t xml:space="preserve">Se acepta. Se reemplaza la ficha</w:t>
            </w:r>
          </w:p>
        </w:tc>
        <w:tc>
          <w:tcPr>
            <w:tcW w:w="3116" w:type="dxa"/>
            <w:vAlign w:val="top"/>
          </w:tcPr>
          <w:p>
            <w:pPr>
              <w:spacing w:before="40" w:after="40"/>
              <w:rPr>
                <w:sz w:val="18"/>
              </w:rPr>
            </w:pPr>
            <w:r>
              <w:rPr>
                <w:sz w:val="18"/>
                <w:szCs w:val="18"/>
              </w:rPr>
              <w:t xml:space="preserve">S13 1.3</w:t>
            </w:r>
          </w:p>
        </w:tc>
      </w:tr>
      <w:tr>
        <w:trPr>
          <w:cantSplit/>
        </w:trPr>
        <w:tc>
          <w:tcPr>
            <w:tcW w:w="3116" w:type="dxa"/>
            <w:vAlign w:val="top"/>
          </w:tcPr>
          <w:p>
            <w:pPr>
              <w:spacing w:before="40" w:after="40"/>
              <w:rPr>
                <w:sz w:val="18"/>
              </w:rPr>
            </w:pPr>
            <w:r>
              <w:rPr>
                <w:sz w:val="18"/>
                <w:szCs w:val="18"/>
              </w:rPr>
              <w:t xml:space="preserve">89. La innovación tipo 2 es el método que imponen las restricciones del Capítulo 6 y el numeral 13.3</w:t>
            </w:r>
          </w:p>
        </w:tc>
        <w:tc>
          <w:tcPr>
            <w:tcW w:w="3116" w:type="dxa"/>
            <w:vAlign w:val="top"/>
          </w:tcPr>
          <w:p>
            <w:pPr>
              <w:spacing w:before="40" w:after="40"/>
              <w:rPr>
                <w:sz w:val="18"/>
              </w:rPr>
            </w:pPr>
            <w:r>
              <w:rPr>
                <w:sz w:val="18"/>
                <w:szCs w:val="18"/>
              </w:rPr>
              <w:t xml:space="preserve">Se acepta. Se revisa y se reformula o se reemplaza</w:t>
            </w:r>
          </w:p>
        </w:tc>
        <w:tc>
          <w:tcPr>
            <w:tcW w:w="3116" w:type="dxa"/>
            <w:vAlign w:val="top"/>
          </w:tcPr>
          <w:p>
            <w:pPr>
              <w:spacing w:before="40" w:after="40"/>
              <w:rPr>
                <w:sz w:val="18"/>
              </w:rPr>
            </w:pPr>
            <w:r>
              <w:rPr>
                <w:sz w:val="18"/>
                <w:szCs w:val="18"/>
              </w:rPr>
              <w:t xml:space="preserve">S13 1.2</w:t>
            </w:r>
          </w:p>
        </w:tc>
      </w:tr>
      <w:tr>
        <w:trPr>
          <w:cantSplit/>
        </w:trPr>
        <w:tc>
          <w:tcPr>
            <w:tcW w:w="3116" w:type="dxa"/>
            <w:vAlign w:val="top"/>
          </w:tcPr>
          <w:p>
            <w:pPr>
              <w:spacing w:before="40" w:after="40"/>
              <w:rPr>
                <w:sz w:val="18"/>
              </w:rPr>
            </w:pPr>
            <w:r>
              <w:rPr>
                <w:sz w:val="18"/>
                <w:szCs w:val="18"/>
              </w:rPr>
              <w:t xml:space="preserve">90. Las fichas T-19 con los siete elementos del Artículo 29 se difieren a la propuesta final y el ítem del Informe 1 las incluye</w:t>
            </w:r>
          </w:p>
        </w:tc>
        <w:tc>
          <w:tcPr>
            <w:tcW w:w="3116" w:type="dxa"/>
            <w:vAlign w:val="top"/>
          </w:tcPr>
          <w:p>
            <w:pPr>
              <w:spacing w:before="40" w:after="40"/>
              <w:rPr>
                <w:sz w:val="18"/>
              </w:rPr>
            </w:pPr>
            <w:r>
              <w:rPr>
                <w:sz w:val="18"/>
                <w:szCs w:val="18"/>
              </w:rPr>
              <w:t xml:space="preserve">Se acepta. Las cinco fichas completas</w:t>
            </w:r>
          </w:p>
        </w:tc>
        <w:tc>
          <w:tcPr>
            <w:tcW w:w="3116" w:type="dxa"/>
            <w:vAlign w:val="top"/>
          </w:tcPr>
          <w:p>
            <w:pPr>
              <w:spacing w:before="40" w:after="40"/>
              <w:rPr>
                <w:sz w:val="18"/>
              </w:rPr>
            </w:pPr>
            <w:r>
              <w:rPr>
                <w:sz w:val="18"/>
                <w:szCs w:val="18"/>
              </w:rPr>
              <w:t xml:space="preserve">S13 anexo T-19</w:t>
            </w:r>
          </w:p>
        </w:tc>
      </w:tr>
      <w:tr>
        <w:trPr>
          <w:cantSplit/>
        </w:trPr>
        <w:tc>
          <w:tcPr>
            <w:tcW w:w="3116" w:type="dxa"/>
            <w:vAlign w:val="top"/>
          </w:tcPr>
          <w:p>
            <w:pPr>
              <w:spacing w:before="40" w:after="40"/>
              <w:rPr>
                <w:sz w:val="18"/>
              </w:rPr>
            </w:pPr>
            <w:r>
              <w:rPr>
                <w:sz w:val="18"/>
                <w:szCs w:val="18"/>
              </w:rPr>
              <w:t xml:space="preserve">91. Los tipos 2 y 3 no traen madurez, impacto económico ni riesgo de adopción, el tipo 5 no trae riesgo y el tipo 1 solo declara inversión incremental</w:t>
            </w:r>
          </w:p>
        </w:tc>
        <w:tc>
          <w:tcPr>
            <w:tcW w:w="3116" w:type="dxa"/>
            <w:vAlign w:val="top"/>
          </w:tcPr>
          <w:p>
            <w:pPr>
              <w:spacing w:before="40" w:after="40"/>
              <w:rPr>
                <w:sz w:val="18"/>
              </w:rPr>
            </w:pPr>
            <w:r>
              <w:rPr>
                <w:sz w:val="18"/>
                <w:szCs w:val="18"/>
              </w:rPr>
              <w:t xml:space="preserve">Se acepta. Los siete elementos en las cinco</w:t>
            </w:r>
          </w:p>
        </w:tc>
        <w:tc>
          <w:tcPr>
            <w:tcW w:w="3116" w:type="dxa"/>
            <w:vAlign w:val="top"/>
          </w:tcPr>
          <w:p>
            <w:pPr>
              <w:spacing w:before="40" w:after="40"/>
              <w:rPr>
                <w:sz w:val="18"/>
              </w:rPr>
            </w:pPr>
            <w:r>
              <w:rPr>
                <w:sz w:val="18"/>
                <w:szCs w:val="18"/>
              </w:rPr>
              <w:t xml:space="preserve">S13 anexo T-19</w:t>
            </w:r>
          </w:p>
        </w:tc>
      </w:tr>
      <w:tr>
        <w:trPr>
          <w:cantSplit/>
        </w:trPr>
        <w:tc>
          <w:tcPr>
            <w:tcW w:w="3116" w:type="dxa"/>
            <w:vAlign w:val="top"/>
          </w:tcPr>
          <w:p>
            <w:pPr>
              <w:spacing w:before="40" w:after="40"/>
              <w:rPr>
                <w:sz w:val="18"/>
              </w:rPr>
            </w:pPr>
            <w:r>
              <w:rPr>
                <w:sz w:val="18"/>
                <w:szCs w:val="18"/>
              </w:rPr>
              <w:t xml:space="preserve">92. En la tabla del tipo 3 las líneas base están inventadas y la meta está redactada al revés respecto del RT-03.13, que fija que no debe superar 20 minutos</w:t>
            </w:r>
          </w:p>
        </w:tc>
        <w:tc>
          <w:tcPr>
            <w:tcW w:w="3116" w:type="dxa"/>
            <w:vAlign w:val="top"/>
          </w:tcPr>
          <w:p>
            <w:pPr>
              <w:spacing w:before="40" w:after="40"/>
              <w:rPr>
                <w:sz w:val="18"/>
              </w:rPr>
            </w:pPr>
            <w:r>
              <w:rPr>
                <w:sz w:val="18"/>
                <w:szCs w:val="18"/>
              </w:rPr>
              <w:t xml:space="preserve">Se acepta. Se corrige el sentido de la meta y se retiran las líneas base sin fuente</w:t>
            </w:r>
          </w:p>
        </w:tc>
        <w:tc>
          <w:tcPr>
            <w:tcW w:w="3116" w:type="dxa"/>
            <w:vAlign w:val="top"/>
          </w:tcPr>
          <w:p>
            <w:pPr>
              <w:spacing w:before="40" w:after="40"/>
              <w:rPr>
                <w:sz w:val="18"/>
              </w:rPr>
            </w:pPr>
            <w:r>
              <w:rPr>
                <w:sz w:val="18"/>
                <w:szCs w:val="18"/>
              </w:rPr>
              <w:t xml:space="preserve">S13 1.3</w:t>
            </w:r>
          </w:p>
        </w:tc>
      </w:tr>
      <w:tr>
        <w:trPr>
          <w:cantSplit/>
        </w:trPr>
        <w:tc>
          <w:tcPr>
            <w:tcW w:w="3116" w:type="dxa"/>
            <w:vAlign w:val="top"/>
          </w:tcPr>
          <w:p>
            <w:pPr>
              <w:spacing w:before="40" w:after="40"/>
              <w:rPr>
                <w:sz w:val="18"/>
              </w:rPr>
            </w:pPr>
            <w:r>
              <w:rPr>
                <w:sz w:val="18"/>
                <w:szCs w:val="18"/>
              </w:rPr>
              <w:t xml:space="preserve">93. El tipo 5 usa cifras que nadie midió, la línea base NASA-TLX, el 22 % de adherencia, el 1,2 % de ahorro y el costo por evento, lo que roza el Artículo 13.4</w:t>
            </w:r>
          </w:p>
        </w:tc>
        <w:tc>
          <w:tcPr>
            <w:tcW w:w="3116" w:type="dxa"/>
            <w:vAlign w:val="top"/>
          </w:tcPr>
          <w:p>
            <w:pPr>
              <w:spacing w:before="40" w:after="40"/>
              <w:rPr>
                <w:sz w:val="18"/>
              </w:rPr>
            </w:pPr>
            <w:r>
              <w:rPr>
                <w:sz w:val="18"/>
                <w:szCs w:val="18"/>
              </w:rPr>
              <w:t xml:space="preserve">Se acepta. Se retiran o se sustituyen por una línea base a medir en la Etapa 1</w:t>
            </w:r>
          </w:p>
        </w:tc>
        <w:tc>
          <w:tcPr>
            <w:tcW w:w="3116" w:type="dxa"/>
            <w:vAlign w:val="top"/>
          </w:tcPr>
          <w:p>
            <w:pPr>
              <w:spacing w:before="40" w:after="40"/>
              <w:rPr>
                <w:sz w:val="18"/>
              </w:rPr>
            </w:pPr>
            <w:r>
              <w:rPr>
                <w:sz w:val="18"/>
                <w:szCs w:val="18"/>
              </w:rPr>
              <w:t xml:space="preserve">S13 1.5</w:t>
            </w:r>
          </w:p>
        </w:tc>
      </w:tr>
      <w:tr>
        <w:trPr>
          <w:cantSplit/>
        </w:trPr>
        <w:tc>
          <w:tcPr>
            <w:tcW w:w="3116" w:type="dxa"/>
            <w:vAlign w:val="top"/>
          </w:tcPr>
          <w:p>
            <w:pPr>
              <w:spacing w:before="40" w:after="40"/>
              <w:rPr>
                <w:sz w:val="18"/>
              </w:rPr>
            </w:pPr>
            <w:r>
              <w:rPr>
                <w:sz w:val="18"/>
                <w:szCs w:val="18"/>
              </w:rPr>
              <w:t xml:space="preserve">94. Las 280 horas hombre de desarrollo son información de esfuerzo de la oferta dentro de la Oferta Técnica, contra el Artículo 50.2</w:t>
            </w:r>
          </w:p>
        </w:tc>
        <w:tc>
          <w:tcPr>
            <w:tcW w:w="3116" w:type="dxa"/>
            <w:vAlign w:val="top"/>
          </w:tcPr>
          <w:p>
            <w:pPr>
              <w:spacing w:before="40" w:after="40"/>
              <w:rPr>
                <w:sz w:val="18"/>
              </w:rPr>
            </w:pPr>
            <w:r>
              <w:rPr>
                <w:sz w:val="18"/>
                <w:szCs w:val="18"/>
              </w:rPr>
              <w:t xml:space="preserve">Se acepta. Se retira</w:t>
            </w:r>
          </w:p>
        </w:tc>
        <w:tc>
          <w:tcPr>
            <w:tcW w:w="3116" w:type="dxa"/>
            <w:vAlign w:val="top"/>
          </w:tcPr>
          <w:p>
            <w:pPr>
              <w:spacing w:before="40" w:after="40"/>
              <w:rPr>
                <w:sz w:val="18"/>
              </w:rPr>
            </w:pPr>
            <w:r>
              <w:rPr>
                <w:sz w:val="18"/>
                <w:szCs w:val="18"/>
              </w:rPr>
              <w:t xml:space="preserve">S13 1.5</w:t>
            </w:r>
          </w:p>
        </w:tc>
      </w:tr>
      <w:tr>
        <w:trPr>
          <w:cantSplit/>
        </w:trPr>
        <w:tc>
          <w:tcPr>
            <w:tcW w:w="3116" w:type="dxa"/>
            <w:vAlign w:val="top"/>
          </w:tcPr>
          <w:p>
            <w:pPr>
              <w:spacing w:before="40" w:after="40"/>
              <w:rPr>
                <w:sz w:val="18"/>
              </w:rPr>
            </w:pPr>
            <w:r>
              <w:rPr>
                <w:sz w:val="18"/>
                <w:szCs w:val="18"/>
              </w:rPr>
              <w:t xml:space="preserve">95. El tipo 4 cuantifica un recupero anual en pesos, son cifras del caso pero conviene retirarlas</w:t>
            </w:r>
          </w:p>
        </w:tc>
        <w:tc>
          <w:tcPr>
            <w:tcW w:w="3116" w:type="dxa"/>
            <w:vAlign w:val="top"/>
          </w:tcPr>
          <w:p>
            <w:pPr>
              <w:spacing w:before="40" w:after="40"/>
              <w:rPr>
                <w:sz w:val="18"/>
              </w:rPr>
            </w:pPr>
            <w:r>
              <w:rPr>
                <w:sz w:val="18"/>
                <w:szCs w:val="18"/>
              </w:rPr>
              <w:t xml:space="preserve">Se acepta. Se retiran</w:t>
            </w:r>
          </w:p>
        </w:tc>
        <w:tc>
          <w:tcPr>
            <w:tcW w:w="3116" w:type="dxa"/>
            <w:vAlign w:val="top"/>
          </w:tcPr>
          <w:p>
            <w:pPr>
              <w:spacing w:before="40" w:after="40"/>
              <w:rPr>
                <w:sz w:val="18"/>
              </w:rPr>
            </w:pPr>
            <w:r>
              <w:rPr>
                <w:sz w:val="18"/>
                <w:szCs w:val="18"/>
              </w:rPr>
              <w:t xml:space="preserve">S13 1.4</w:t>
            </w:r>
          </w:p>
        </w:tc>
      </w:tr>
      <w:tr>
        <w:trPr>
          <w:cantSplit/>
        </w:trPr>
        <w:tc>
          <w:tcPr>
            <w:tcW w:w="3116" w:type="dxa"/>
            <w:vAlign w:val="top"/>
          </w:tcPr>
          <w:p>
            <w:pPr>
              <w:spacing w:before="40" w:after="40"/>
              <w:rPr>
                <w:sz w:val="18"/>
              </w:rPr>
            </w:pPr>
            <w:r>
              <w:rPr>
                <w:sz w:val="18"/>
                <w:szCs w:val="18"/>
              </w:rPr>
              <w:t xml:space="preserve">96. El producto propio audIT EdgeHub se invoca sin definirlo en ningún subdocumento</w:t>
            </w:r>
          </w:p>
        </w:tc>
        <w:tc>
          <w:tcPr>
            <w:tcW w:w="3116" w:type="dxa"/>
            <w:vAlign w:val="top"/>
          </w:tcPr>
          <w:p>
            <w:pPr>
              <w:spacing w:before="40" w:after="40"/>
              <w:rPr>
                <w:sz w:val="18"/>
              </w:rPr>
            </w:pPr>
            <w:r>
              <w:rPr>
                <w:sz w:val="18"/>
                <w:szCs w:val="18"/>
              </w:rPr>
              <w:t xml:space="preserve">Se acepta. Se define en el Subdocumento 1 y se referencia</w:t>
            </w:r>
          </w:p>
        </w:tc>
        <w:tc>
          <w:tcPr>
            <w:tcW w:w="3116" w:type="dxa"/>
            <w:vAlign w:val="top"/>
          </w:tcPr>
          <w:p>
            <w:pPr>
              <w:spacing w:before="40" w:after="40"/>
              <w:rPr>
                <w:sz w:val="18"/>
              </w:rPr>
            </w:pPr>
            <w:r>
              <w:rPr>
                <w:sz w:val="18"/>
                <w:szCs w:val="18"/>
              </w:rPr>
              <w:t xml:space="preserve">S1 1.2 y S13 1.4</w:t>
            </w:r>
          </w:p>
        </w:tc>
      </w:tr>
      <w:tr>
        <w:trPr>
          <w:cantSplit/>
        </w:trPr>
        <w:tc>
          <w:tcPr>
            <w:tcW w:w="3116" w:type="dxa"/>
            <w:vAlign w:val="top"/>
          </w:tcPr>
          <w:p>
            <w:pPr>
              <w:spacing w:before="40" w:after="40"/>
              <w:rPr>
                <w:sz w:val="18"/>
              </w:rPr>
            </w:pPr>
            <w:r>
              <w:rPr>
                <w:sz w:val="18"/>
                <w:szCs w:val="18"/>
              </w:rPr>
              <w:t xml:space="preserve">97. No hay trazabilidad con el flujo de caja para ninguna innovación y la tipo 4 debía reflejarse en la estructura de costos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S13 1.7</w:t>
            </w:r>
          </w:p>
        </w:tc>
      </w:tr>
      <w:tr>
        <w:trPr>
          <w:cantSplit/>
        </w:trPr>
        <w:tc>
          <w:tcPr>
            <w:tcW w:w="3116" w:type="dxa"/>
            <w:vAlign w:val="top"/>
          </w:tcPr>
          <w:p>
            <w:pPr>
              <w:spacing w:before="40" w:after="40"/>
              <w:rPr>
                <w:sz w:val="18"/>
              </w:rPr>
            </w:pPr>
            <w:r>
              <w:rPr>
                <w:sz w:val="18"/>
                <w:szCs w:val="18"/>
              </w:rPr>
              <w:t xml:space="preserve">98. Declarar investigación adicional requerida en cada ficha equivale a declarar que la innovación no está diseñada</w:t>
            </w:r>
          </w:p>
        </w:tc>
        <w:tc>
          <w:tcPr>
            <w:tcW w:w="3116" w:type="dxa"/>
            <w:vAlign w:val="top"/>
          </w:tcPr>
          <w:p>
            <w:pPr>
              <w:spacing w:before="40" w:after="40"/>
              <w:rPr>
                <w:sz w:val="18"/>
              </w:rPr>
            </w:pPr>
            <w:r>
              <w:rPr>
                <w:b/>
                <w:sz w:val="18"/>
                <w:szCs w:val="18"/>
              </w:rPr>
              <w:t xml:space="preserve">Se aclara.</w:t>
            </w:r>
            <w:r>
              <w:rPr>
                <w:sz w:val="18"/>
                <w:szCs w:val="18"/>
              </w:rPr>
              <w:t xml:space="preserve"> El Formulario T-22 p.68 ordena que «si alguna requiere investigación adicional, debe declararse». audIT usó la figura que las bases proveen y no para suplir diseño, porque cada ficha declara tecnología, arquitectura de inserción, indicadores y riesgos. Se acepta que en los tipos 2 y 3 la declaración quedó sin el respaldo de los siete elementos, y eso se corrige con las fichas completas</w:t>
            </w:r>
          </w:p>
        </w:tc>
        <w:tc>
          <w:tcPr>
            <w:tcW w:w="3116" w:type="dxa"/>
            <w:vAlign w:val="top"/>
          </w:tcPr>
          <w:p>
            <w:pPr>
              <w:spacing w:before="40" w:after="40"/>
              <w:rPr>
                <w:sz w:val="18"/>
              </w:rPr>
            </w:pPr>
            <w:r>
              <w:rPr>
                <w:sz w:val="18"/>
                <w:szCs w:val="18"/>
              </w:rPr>
              <w:t xml:space="preserve">S13, las cinco fichas</w:t>
            </w:r>
          </w:p>
        </w:tc>
      </w:tr>
      <w:tr>
        <w:trPr>
          <w:cantSplit/>
        </w:trPr>
        <w:tc>
          <w:tcPr>
            <w:tcW w:w="3116" w:type="dxa"/>
            <w:vAlign w:val="top"/>
          </w:tcPr>
          <w:p>
            <w:pPr>
              <w:spacing w:before="40" w:after="40"/>
              <w:rPr>
                <w:sz w:val="18"/>
              </w:rPr>
            </w:pPr>
            <w:r>
              <w:rPr>
                <w:sz w:val="18"/>
                <w:szCs w:val="18"/>
              </w:rPr>
              <w:t xml:space="preserve">99. El punto 1.6 sobre estado de elaboración y responsables es organización interna del grupo, ininteligible para el mandante</w:t>
            </w:r>
          </w:p>
        </w:tc>
        <w:tc>
          <w:tcPr>
            <w:tcW w:w="3116" w:type="dxa"/>
            <w:vAlign w:val="top"/>
          </w:tcPr>
          <w:p>
            <w:pPr>
              <w:spacing w:before="40" w:after="40"/>
              <w:rPr>
                <w:sz w:val="18"/>
              </w:rPr>
            </w:pPr>
            <w:r>
              <w:rPr>
                <w:sz w:val="18"/>
                <w:szCs w:val="18"/>
              </w:rPr>
              <w:t xml:space="preserve">Se acepta. Se elimina</w:t>
            </w:r>
          </w:p>
        </w:tc>
        <w:tc>
          <w:tcPr>
            <w:tcW w:w="3116" w:type="dxa"/>
            <w:vAlign w:val="top"/>
          </w:tcPr>
          <w:p>
            <w:pPr>
              <w:spacing w:before="40" w:after="40"/>
              <w:rPr>
                <w:sz w:val="18"/>
              </w:rPr>
            </w:pPr>
            <w:r>
              <w:rPr>
                <w:sz w:val="18"/>
                <w:szCs w:val="18"/>
              </w:rPr>
              <w:t xml:space="preserve">S13 1.6</w:t>
            </w:r>
          </w:p>
        </w:tc>
      </w:tr>
      <w:tr>
        <w:trPr>
          <w:cantSplit/>
        </w:trPr>
        <w:tc>
          <w:tcPr>
            <w:tcW w:w="3116" w:type="dxa"/>
            <w:vAlign w:val="top"/>
          </w:tcPr>
          <w:p>
            <w:pPr>
              <w:spacing w:before="40" w:after="40"/>
              <w:rPr>
                <w:sz w:val="18"/>
              </w:rPr>
            </w:pPr>
            <w:r>
              <w:rPr>
                <w:sz w:val="18"/>
                <w:szCs w:val="18"/>
              </w:rPr>
              <w:t xml:space="preserve">100. Cita a la Escuela de Informática como autor, tabla partida entre páginas y cero figuras</w:t>
            </w:r>
          </w:p>
        </w:tc>
        <w:tc>
          <w:tcPr>
            <w:tcW w:w="3116" w:type="dxa"/>
            <w:vAlign w:val="top"/>
          </w:tcPr>
          <w:p>
            <w:pPr>
              <w:spacing w:before="40" w:after="40"/>
              <w:rPr>
                <w:sz w:val="18"/>
              </w:rPr>
            </w:pPr>
            <w:r>
              <w:rPr>
                <w:sz w:val="18"/>
                <w:szCs w:val="18"/>
              </w:rPr>
              <w:t xml:space="preserve">Se acepta</w:t>
            </w:r>
          </w:p>
        </w:tc>
        <w:tc>
          <w:tcPr>
            <w:tcW w:w="3116" w:type="dxa"/>
            <w:vAlign w:val="top"/>
          </w:tcPr>
          <w:p>
            <w:pPr>
              <w:spacing w:before="40" w:after="40"/>
              <w:rPr>
                <w:sz w:val="18"/>
              </w:rPr>
            </w:pPr>
            <w:r>
              <w:rPr>
                <w:sz w:val="18"/>
                <w:szCs w:val="18"/>
              </w:rPr>
              <w:t xml:space="preserve">S13 completo</w:t>
            </w:r>
          </w:p>
        </w:tc>
      </w:tr>
    </w:tbl>
    <w:p>
      <w:pPr>
        <w:spacing w:before="0" w:after="100"/>
      </w:pPr>
    </w:p>
    <w:sectPr>
      <w:footerReference w:type="default" r:id="rId3"/>
      <w:pgSz w:w="11906" w:h="16838"/>
      <w:pgMar w:top="1134" w:right="1134" w:bottom="1134" w:left="1134" w:header="708" w:footer="708" w:gutter="0"/>
    </w:sectPr>
  </w:body>
</w:document>
</file>

<file path=word/footer1.xml><?xml version="1.0" encoding="utf-8"?>
<w:ftr xmlns:w="http://schemas.openxmlformats.org/wordprocessingml/2006/main" xmlns:r="http://schemas.openxmlformats.org/officeDocument/2006/relationships">
  <w:p>
    <w:pPr>
      <w:jc w:val="center"/>
      <w:pBdr>
        <w:top w:val="single" w:sz="4" w:space="6" w:color="C8D2DE"/>
      </w:pBdr>
    </w:pPr>
    <w:r>
      <w:rPr>
        <w:sz w:val="17"/>
        <w:color w:val="6B7280"/>
      </w:rPr>
      <w:t xml:space="preserve">Dupla 4 · Subdoc. 4.2 · TFEP-01/2026 — </w:t>
    </w:r>
    <w:r>
      <w:fldChar w:fldCharType="begin"/>
    </w:r>
    <w:r>
      <w:instrText xml:space="preserve"> PAGE </w:instrText>
    </w:r>
    <w:r>
      <w:fldChar w:fldCharType="separate"/>
    </w:r>
    <w:r>
      <w:rPr>
        <w:sz w:val="17"/>
      </w:rPr>
      <w:t>1</w:t>
    </w:r>
    <w:r>
      <w:fldChar w:fldCharType="end"/>
    </w:r>
  </w:p>
</w:ftr>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es-CL"/>
      </w:rPr>
    </w:rPrDefault>
    <w:pPrDefault>
      <w:pPr>
        <w:spacing w:after="120"/>
      </w:pPr>
    </w:pPrDefault>
  </w:docDefaults>
  <w:style w:type="paragraph" w:default="1" w:styleId="Normal">
    <w:name w:val="Normal"/>
  </w:style>
  <w:style w:type="paragraph" w:styleId="Titulo0">
    <w:name w:val="Title"/>
    <w:qFormat/>
    <w:rPr>
      <w:b/>
      <w:sz w:val="40"/>
      <w:color w:val="12243A"/>
    </w:rPr>
  </w:style>
  <w:style w:type="paragraph" w:styleId="Heading1">
    <w:name w:val="heading 1"/>
    <w:qFormat/>
    <w:pPr>
      <w:outlineLvl w:val="0"/>
      <w:pBdr>
        <w:bottom w:val="single" w:sz="8" w:space="4" w:color="1B4FA8"/>
      </w:pBdr>
    </w:pPr>
    <w:rPr>
      <w:b/>
      <w:sz w:val="30"/>
      <w:color w:val="1B4FA8"/>
    </w:rPr>
  </w:style>
  <w:style w:type="paragraph" w:styleId="Heading2">
    <w:name w:val="heading 2"/>
    <w:qFormat/>
    <w:pPr>
      <w:outlineLvl w:val="1"/>
    </w:pPr>
    <w:rPr>
      <w:b/>
      <w:sz w:val="25"/>
      <w:color w:val="12243A"/>
    </w:rPr>
  </w:style>
  <w:style w:type="paragraph" w:styleId="Heading3">
    <w:name w:val="heading 3"/>
    <w:qFormat/>
    <w:pPr>
      <w:outlineLvl w:val="2"/>
    </w:pPr>
    <w:rPr>
      <w:b/>
      <w:i/>
      <w:sz w:val="23"/>
      <w:color w:val="41506A"/>
    </w:rPr>
  </w:style>
  <w:style w:type="paragraph" w:styleId="Codigo">
    <w:name w:val="Codigo"/>
    <w:rPr>
      <w:rFonts w:ascii="Consolas" w:hAnsi="Consolas"/>
      <w:sz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Tabla de trazabilidad de observaciones del Informe 1</dc:title>
  <dc:subject>audIT · TFEP-01/2026 · Artículo 46</dc:subject>
  <dc:creator>Dupla 4</dc:creator>
  <cp:revision>1</cp:revision>
</cp:coreProperties>
</file>