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27.09.2026  |  6 Studien  |  adipositas.m-vf.de</w:t>
      </w:r>
    </w:p>
    <w:p>
      <w:pPr>
        <w:pStyle w:val="Heading1"/>
      </w:pPr>
      <w:r>
        <w:t>Aufgenommen am 27.09.2026</w:t>
      </w:r>
    </w:p>
    <w:p>
      <w:pPr>
        <w:pStyle w:val="Heading2"/>
      </w:pPr>
      <w:r>
        <w:t>Ernährungsverhalten vermittelt Erfolg von Adipositas-Intervention bei Kindern: Analyse der DECIDE-Studie</w:t>
      </w:r>
    </w:p>
    <w:p>
      <w:r>
        <w:rPr>
          <w:i/>
          <w:color w:val="666666"/>
          <w:sz w:val="18"/>
        </w:rPr>
        <w:t>Zhang L et al.  ·  Nutrients  ·  18.09.2026  ·  PMID 42797034</w:t>
      </w:r>
    </w:p>
    <w:p>
      <w:r>
        <w:t>Cluster-randomisierte Studie mit 1.180 Kindern, die eine 9-monatige Multiplikations-Intervention erhielten (Gesundheitsbildung, Aktivitätsförderung, App-gestützte BMI-Überwachung und Umweltveränderungen in Schulen und Familien).</w:t>
      </w:r>
    </w:p>
    <w:p>
      <w:r>
        <w:rPr>
          <w:b/>
        </w:rPr>
        <w:t xml:space="preserve">Ergebnis: </w:t>
      </w:r>
      <w:r>
        <w:t>Die Intervention senkte die Gesamtkörperfettmasse um 1,003 % und erhöhte die fettfreie Masse; die Ernährungsverhalten vermittelten 16,1 % dieses Effekts, während körperliche Aktivität keine signifikante Mediatorrolle zeigte. Bildschirmzeit und moderate-intensive körperliche Aktivität zeigten keine Mediation.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Methoden mit ähnlichen Adipositasmaßnahmen in Schulen wie in Deutschland einsetzbar</w:t>
      </w:r>
    </w:p>
    <w:p>
      <w:r>
        <w:rPr>
          <w:color w:val="5A7D3A"/>
          <w:sz w:val="18"/>
        </w:rPr>
        <w:t>https://pubmed.ncbi.nlm.nih.gov/42797034/</w:t>
      </w:r>
    </w:p>
    <w:p>
      <w:pPr>
        <w:pStyle w:val="Heading2"/>
      </w:pPr>
      <w:r>
        <w:t>Vitamin-D- und B12-Mangel erhöhen metabolisches Erkrankungsrisiko bei Adipositas: TriNetX-Studie</w:t>
      </w:r>
    </w:p>
    <w:p>
      <w:r>
        <w:rPr>
          <w:i/>
          <w:color w:val="666666"/>
          <w:sz w:val="18"/>
        </w:rPr>
        <w:t>Osorio EY et al.  ·  Nutrients  ·  14.09.2026  ·  PMID 42796988</w:t>
      </w:r>
    </w:p>
    <w:p>
      <w:r>
        <w:t>Elektronische Gesundheitsakte-Analyse an US-amerikanischen Patienten mit Adipositas und verschiedenen Mangelernährungsarten (Vitamin D, B12, Kalzium, Magnesium, Protein) und deren Assoziation mit metabolischen Folgeerkrankungen.</w:t>
      </w:r>
    </w:p>
    <w:p>
      <w:r>
        <w:rPr>
          <w:b/>
        </w:rPr>
        <w:t xml:space="preserve">Ergebnis: </w:t>
      </w:r>
      <w:r>
        <w:t>Vitamin-D-Mangel (Median-HR 3,09, IQR 2,32–5,66), B12-Mangel (Median-HR 2,49, IQR 2,16–6,08) und vorherige Untergewicht-Diagnose (Median-HR 2,23, IQR 1,76–3,98) waren mit höchstem Risiko für metabolische Erkrankungen assoziiert. Prävalenz aller Mangelzustände stieg von 2023–2025 an.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USA-Daten, aber die Mechanismen zwischen Malnutrition und Metabolikum sind unabhängig von Versicherungssystem</w:t>
      </w:r>
    </w:p>
    <w:p>
      <w:r>
        <w:rPr>
          <w:color w:val="5A7D3A"/>
          <w:sz w:val="18"/>
        </w:rPr>
        <w:t>https://pubmed.ncbi.nlm.nih.gov/42796988/</w:t>
      </w:r>
    </w:p>
    <w:p>
      <w:pPr>
        <w:pStyle w:val="Heading2"/>
      </w:pPr>
      <w:r>
        <w:t>Aquatic Exercise verbesserte Stürz-Risiko und exekutive Funktion bei älteren Frauen mit Adipositas: 16-Wochen-Beobachtung</w:t>
      </w:r>
    </w:p>
    <w:p>
      <w:r>
        <w:rPr>
          <w:i/>
          <w:color w:val="666666"/>
          <w:sz w:val="18"/>
        </w:rPr>
        <w:t>Seo YM et al.  ·  Medicina (Kaunas)  ·  31.08.2026  ·  PMID 42796274</w:t>
      </w:r>
    </w:p>
    <w:p>
      <w:r>
        <w:t>Prospektive Beobachtungsstudie an 30 älteren Frauen mit Adipositas (15 kombiniertes Aqua-Training, 15 Kontrollgruppe), die 16 Wochen überwacht wurden.</w:t>
      </w:r>
    </w:p>
    <w:p>
      <w:r>
        <w:rPr>
          <w:b/>
        </w:rPr>
        <w:t xml:space="preserve">Ergebnis: </w:t>
      </w:r>
      <w:r>
        <w:t>Aquatic-Gruppe zeigte größere Verbesserungen in Körperzusammensetzung, Muskelkraft und Balance; exekutive Funktion verbesserte sich signifikant (p&lt;0,001). Irisin-Werte stiegen signifikant (p=0,002); keine signifikanten Unterschiede in Gehgeschwindigkeit, Ausdauer oder IL-6.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Südkorea, aber Aquatic-Programme sind in Deutschland etabliert und übertragbar</w:t>
      </w:r>
    </w:p>
    <w:p>
      <w:r>
        <w:rPr>
          <w:color w:val="5A7D3A"/>
          <w:sz w:val="18"/>
        </w:rPr>
        <w:t>https://pubmed.ncbi.nlm.nih.gov/42796274/</w:t>
      </w:r>
    </w:p>
    <w:p>
      <w:pPr>
        <w:pStyle w:val="Heading2"/>
      </w:pPr>
      <w:r>
        <w:t>Dietetic counseling with digital tools für älter Erwachsene mit MetS-Risiko: vorwiegend Verbesserung ohne Zusatznutzen von Apps</w:t>
      </w:r>
    </w:p>
    <w:p>
      <w:r>
        <w:rPr>
          <w:i/>
          <w:color w:val="666666"/>
          <w:sz w:val="18"/>
        </w:rPr>
        <w:t>Makri R et al.  ·  Obesity (Silver Spring)  ·  18.09.2026  ·  PMID 42759999</w:t>
      </w:r>
    </w:p>
    <w:p>
      <w:r>
        <w:t>Randomisierte Studie an 984 älteren Erwachsenen (≥55 Jahre) mit Stoffwechsel-Risikofaktoren, die 3 Monate lang dietätische Beratung allein, mit Webplattform oder mit Plattform plus digitalen Geräten erhielten.</w:t>
      </w:r>
    </w:p>
    <w:p>
      <w:r>
        <w:rPr>
          <w:b/>
        </w:rPr>
        <w:t xml:space="preserve">Ergebnis: </w:t>
      </w:r>
      <w:r>
        <w:t>Taillenumfang sank in allen Gruppen (Plattform -1,38 cm, 95%-KI -2,37 bis -0,38; Plattform+Geräte -1,61 cm, 95%-KI -2,61 bis -0,60). Dietätische Beratung verbesserte Anthropometrie und metabolische Parameter; digitale Tools erhöhten die körperliche Aktivität (+55,52 MET-min/Woche, 95%-KI 15,32–95,72), brachten aber keinen zusätzlichen kurzfristigen metabolischen Nutzen.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Griechenland, vergleichbar mit deutschem Sozialversicherungssystem für spezialisierte Ernährungsberatung</w:t>
      </w:r>
    </w:p>
    <w:p>
      <w:r>
        <w:rPr>
          <w:color w:val="5A7D3A"/>
          <w:sz w:val="18"/>
        </w:rPr>
        <w:t>https://pubmed.ncbi.nlm.nih.gov/42759999/</w:t>
      </w:r>
    </w:p>
    <w:p>
      <w:pPr>
        <w:pStyle w:val="Heading2"/>
      </w:pPr>
      <w:r>
        <w:t>Mütterlicher Obst- und Gemüseverbrauch senkt Adipositas-Risiko von 4-jährigen Kindern: ECLIPSES-Kohort</w:t>
      </w:r>
    </w:p>
    <w:p>
      <w:r>
        <w:rPr>
          <w:i/>
          <w:color w:val="666666"/>
          <w:sz w:val="18"/>
        </w:rPr>
        <w:t>Riggioni-Saborío L et al.  ·  Nutrients  ·  06.09.2026  ·  PMID 42739090</w:t>
      </w:r>
    </w:p>
    <w:p>
      <w:r>
        <w:t>Prospektive Observationsstudie an 252 Mutter-Kind-Paaren (Kohort ECLIPSES), bei der die mütterliche Ernährung in Trimestern erfasst und das Adipositas-Risiko der Kinder im Alter 4 Jahren gemessen wurde.</w:t>
      </w:r>
    </w:p>
    <w:p>
      <w:r>
        <w:rPr>
          <w:b/>
        </w:rPr>
        <w:t xml:space="preserve">Ergebnis: </w:t>
      </w:r>
      <w:r>
        <w:t>Höherer Obst- und Gemüsekonsum war mit niedrigerer Adipositas-Wahrscheinlichkeit assoziiert (OR 0,31, 95%-KI 0,13–0,74). Kommerzieller Fruchtsaft war mit erhöhter Adipositas assoziiert (OR 2,48, 95%-KI 1,06–5,78), natürlicher Saft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 (Mittelmeer-Region), aber Ernährungsempfehlungen in der Schwangerschaft sind international vergleichbar</w:t>
      </w:r>
    </w:p>
    <w:p>
      <w:r>
        <w:rPr>
          <w:color w:val="5A7D3A"/>
          <w:sz w:val="18"/>
        </w:rPr>
        <w:t>https://pubmed.ncbi.nlm.nih.gov/42739090/</w:t>
      </w:r>
    </w:p>
    <w:p>
      <w:pPr>
        <w:pStyle w:val="Heading2"/>
      </w:pPr>
      <w:r>
        <w:t>Ruhepuls ≥75 bpm als unabhängiger Marker für Insulinresistenz in der Grundversorgung</w:t>
      </w:r>
    </w:p>
    <w:p>
      <w:r>
        <w:rPr>
          <w:i/>
          <w:color w:val="666666"/>
          <w:sz w:val="18"/>
        </w:rPr>
        <w:t>Mill Ferreyra EO et al.  ·  Semergen  ·  10.09.2026  ·  PMID 42721922</w:t>
      </w:r>
    </w:p>
    <w:p>
      <w:r>
        <w:t>Querschnittsstudie an 492 Patienten in spanischen Praxen (Palafolls, Barcelona), die Ruheherzfrequenz, Körperzusammensetzung und Insulinresistenz (HOMA-IR) gemessen wurden.</w:t>
      </w:r>
    </w:p>
    <w:p>
      <w:r>
        <w:rPr>
          <w:b/>
        </w:rPr>
        <w:t xml:space="preserve">Ergebnis: </w:t>
      </w:r>
      <w:r>
        <w:t>Ruhepuls ≥75 bpm war mit höherer Adipositas, geringerer Muskelmasse und erhöhter Insulinresistenz assoziiert (OR ≈ 2,0 in allen Modellen). Hohe Muskelmasse zeigte protektiven Effekt (OR ≈ 0,4). Assoziationen blieben nach Alters- und Geschlechtsbereinigung bestehen.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primärärztliches Versorgungssystem vergleichbar mit Deutschland</w:t>
      </w:r>
    </w:p>
    <w:p>
      <w:r>
        <w:rPr>
          <w:color w:val="5A7D3A"/>
          <w:sz w:val="18"/>
        </w:rPr>
        <w:t>https://pubmed.ncbi.nlm.nih.gov/42721922/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2026-09-27T06:00:00Z</dcterms:created>
  <dcterms:modified xsi:type="dcterms:W3CDTF">2026-09-27T06:00:00Z</dcterms:modified>
  <cp:category/>
</cp:coreProperties>
</file>