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02.10.2026  |  7 Studien  |  adipositas.m-vf.de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Tirzepatid in europäischer Pharmakovigilanz: höhere Off-label-Nutzung, geringere Ineffektivitätsmeldungen</w:t>
      </w:r>
    </w:p>
    <w:p>
      <w:r>
        <w:rPr>
          <w:i/>
          <w:color w:val="666666"/>
          <w:sz w:val="18"/>
        </w:rPr>
        <w:t>Popa Ilie IR et al.  ·  BMJ Open  ·  01.10.2026  ·  PMID 42823110</w:t>
      </w:r>
    </w:p>
    <w:p>
      <w:r>
        <w:t>Retrospektive Pharmakovigilanz-Analyse des EudraVigilance-Systems verglich Adverse-Event-Meldungen zu Tirzepatid mit anderen GLP-1-Rezeptor-Agonisten.</w:t>
      </w:r>
    </w:p>
    <w:p>
      <w:r>
        <w:rPr>
          <w:b/>
        </w:rPr>
        <w:t xml:space="preserve">Ergebnis: </w:t>
      </w:r>
      <w:r>
        <w:t>Tirzepatid zeigte niedrigere Meldequoten für 'Drug ineffective' vs. Liraglutid (ROR 0,61 [95%-CI: 0,54–0,70]), Dulaglutid (0,72 [0,63–0,82]) und Semaglutid (0,81 [0,72–0,91]). Höhere Meldequoten für 'Off-label use' vs. Liraglutid, aber niedrigere vs. Semaglutid (ROR 0,52 [95%-CI: 0,49–0,55]). Befunde ergänzen Zulassungsstudien durch Real-World-Sicherheitssignale.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EudraVigilance-System erfasst EU-Meldungen, Erstattung unterschiedlich nach Land</w:t>
      </w:r>
    </w:p>
    <w:p>
      <w:r>
        <w:rPr>
          <w:color w:val="5A7D3A"/>
          <w:sz w:val="18"/>
        </w:rPr>
        <w:t>https://pubmed.ncbi.nlm.nih.gov/42823110/</w:t>
      </w:r>
    </w:p>
    <w:p>
      <w:pPr>
        <w:pStyle w:val="Heading2"/>
      </w:pPr>
      <w:r>
        <w:t>Child Eating Behaviour Questionnaire: vereinfachte Scores prognostizieren Adipositasrisiko besser als Einzeldomänen</w:t>
      </w:r>
    </w:p>
    <w:p>
      <w:r>
        <w:rPr>
          <w:i/>
          <w:color w:val="666666"/>
          <w:sz w:val="18"/>
        </w:rPr>
        <w:t>Renier TJ et al.  ·  Pediatr Obes  ·  Okt. 2026  ·  PMID 42808752</w:t>
      </w:r>
    </w:p>
    <w:p>
      <w:r>
        <w:t>Querschnittsstudie (n=354 Kinder, 9–12 Jahre) entwickelte datengesteuerte Composite-Scores aus Child Eating Behaviour Questionnaire-Items zur Vorhersage des BMI und genetischen Adipositasrisikos.</w:t>
      </w:r>
    </w:p>
    <w:p>
      <w:r>
        <w:rPr>
          <w:b/>
        </w:rPr>
        <w:t xml:space="preserve">Ergebnis: </w:t>
      </w:r>
      <w:r>
        <w:t>Drei Composite-Scores (4–18 Items) stärker mit BMI-z-Score korreliert (r 0,38–0,42; p&lt;0,001) als Einzeldomänen-Scores und signifikant mit beiden Polygenic-Risk-Scores assoziiert. Composite-Scores mit Ladevektoren ≥|0,50| oder ≥|0,70| zeigten Korrelationen r=0,77–0,97 untereinander. Vereinfachte Erfassung appetitiver Traits zur Adipositasrisikostratifizierung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UK-Zwillingskohortendaten, Ernährungsverhalten kulturübergreifend relevant</w:t>
      </w:r>
    </w:p>
    <w:p>
      <w:r>
        <w:rPr>
          <w:color w:val="5A7D3A"/>
          <w:sz w:val="18"/>
        </w:rPr>
        <w:t>https://pubmed.ncbi.nlm.nih.gov/42808752/</w:t>
      </w:r>
    </w:p>
    <w:p>
      <w:pPr>
        <w:pStyle w:val="Heading2"/>
      </w:pPr>
      <w:r>
        <w:t>Tirzepatid versus Semaglutid: Kosteneffizienz bei strengen Therapiezielen in der Versorgungswirklichkeit</w:t>
      </w:r>
    </w:p>
    <w:p>
      <w:r>
        <w:rPr>
          <w:i/>
          <w:color w:val="666666"/>
          <w:sz w:val="18"/>
        </w:rPr>
        <w:t>Hoog MM et al.  ·  J Manag Care Spec Pharm  ·  Okt. 2026  ·  PMID 42808550</w:t>
      </w:r>
    </w:p>
    <w:p>
      <w:r>
        <w:t>US-amerikanische Kohortenstudie (n=10.702 naive, n=5.577 nicht-naive GLP-1-Patienten) verglich Therapietreue, Gewichtsverlust und Kosten pro erreichtem Ziel über 12 Monate.</w:t>
      </w:r>
    </w:p>
    <w:p>
      <w:r>
        <w:rPr>
          <w:b/>
        </w:rPr>
        <w:t xml:space="preserve">Ergebnis: </w:t>
      </w:r>
      <w:r>
        <w:t>Tirzepatid-Nutzer zeigten höhere Adhärenz (naiv: 60% vs. 45%), Persistenz (naiv: 62% vs. 47%) und erreichten strengere Ziele häufiger: A1c&lt;5,7% (naiv 30% vs. 18%), Gewichtsabnahme ≥15% (naiv 23% vs. 10%). Tirzepatid mit niedrigeren Kosten pro Responder für stringente Endpunkte: A1c&lt;5,7% (naiv $45.300 vs. $65.300), Gewichtsabnahme ≥15% (naiv $62.900 vs. $124.400).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Versicherungskontext grundlegend anders als Deutschland (§34 SGB V)</w:t>
      </w:r>
    </w:p>
    <w:p>
      <w:r>
        <w:rPr>
          <w:color w:val="5A7D3A"/>
          <w:sz w:val="18"/>
        </w:rPr>
        <w:t>https://pubmed.ncbi.nlm.nih.gov/42808550/</w:t>
      </w:r>
    </w:p>
    <w:p>
      <w:pPr>
        <w:pStyle w:val="Heading2"/>
      </w:pPr>
      <w:r>
        <w:t>Massive Gewichtsabnahme nach Adipositaschirurgie: psychosoziale Komplexität bei Brustrekonstruktion</w:t>
      </w:r>
    </w:p>
    <w:p>
      <w:r>
        <w:rPr>
          <w:i/>
          <w:color w:val="666666"/>
          <w:sz w:val="18"/>
        </w:rPr>
        <w:t>Paganini A et al.  ·  Clin Breast Cancer  ·  07.09.2026  ·  PMID 42790227</w:t>
      </w:r>
    </w:p>
    <w:p>
      <w:r>
        <w:t>Schwedische populationsbasierte Fall-Kontroll-Studie (n=81 mit massiver Gewichtsabnahme, n=993 Kontrollen) untersuchte Unterschiede zwischen Frauen mit und ohne vorherige Adipositaschirurgie vor Brustrekonstruktion.</w:t>
      </w:r>
    </w:p>
    <w:p>
      <w:r>
        <w:rPr>
          <w:b/>
        </w:rPr>
        <w:t xml:space="preserve">Ergebnis: </w:t>
      </w:r>
      <w:r>
        <w:t>Frauen mit massiver Gewichtsabnahme (mittl. 30,6 kg vor Rekonstruktion) häufiger geschieden/getrennt, mit höherer Prävalenz psychiatrischer, kardiovaskulärer und rheumatischer Erkrankungen (&gt;2× häufiger, nach Bonferroni-Korrektur nicht alle signifikant). Vitamin-, Mineral- und Anämie-Medikamentenutzung signifikant erhöht. Erkannte Unterschiede unterstützen perioperatives Management.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skandinavisches Versicherungssystem, landesweit registrierte Fälle</w:t>
      </w:r>
    </w:p>
    <w:p>
      <w:r>
        <w:rPr>
          <w:color w:val="5A7D3A"/>
          <w:sz w:val="18"/>
        </w:rPr>
        <w:t>https://pubmed.ncbi.nlm.nih.gov/42790227/</w:t>
      </w:r>
    </w:p>
    <w:p>
      <w:pPr>
        <w:pStyle w:val="Heading2"/>
      </w:pPr>
      <w:r>
        <w:t>Pankreatisches Fett und Gewichtsverlust: MRT-Messmethode zeigt signifikante Reduktion nach Lebensstiländerung</w:t>
      </w:r>
    </w:p>
    <w:p>
      <w:r>
        <w:rPr>
          <w:i/>
          <w:color w:val="666666"/>
          <w:sz w:val="18"/>
        </w:rPr>
        <w:t>Braun P et al.  ·  NMR Biomed  ·  Nov. 2026  ·  PMID 42788241</w:t>
      </w:r>
    </w:p>
    <w:p>
      <w:r>
        <w:t>Deutsche Interventionsstudie LION (n=18) evaluierte MRT-Sequenzierungsmethode zur Quantifizierung pankreatischen Fetts bei Adipositaspatienten während Lebensstiländerung.</w:t>
      </w:r>
    </w:p>
    <w:p>
      <w:r>
        <w:rPr>
          <w:b/>
        </w:rPr>
        <w:t xml:space="preserve">Ergebnis: </w:t>
      </w:r>
      <w:r>
        <w:t>Pancreatic PDFF (Fettfraktionsanteil) sank signifikant um 2,3±2,1% (Cartesian p&lt;0,001, Radial p&lt;0,01), Pankreasvolumen um 8,4±7,7 cm³ (beide p&lt;0,001). Exzellente Übereinstimmung zwischen Radial- und Cartesian-Sequenzen (PDFF: ICC=0,98). Neue free-breathing Sequenz ermöglicht Fettwertmessungen ohne Atemhaltemanöver.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TU München-Klinikdaten, Interventionsparameter europäisch vergleichbar</w:t>
      </w:r>
    </w:p>
    <w:p>
      <w:r>
        <w:rPr>
          <w:color w:val="5A7D3A"/>
          <w:sz w:val="18"/>
        </w:rPr>
        <w:t>https://pubmed.ncbi.nlm.nih.gov/42788241/</w:t>
      </w:r>
    </w:p>
    <w:p>
      <w:pPr>
        <w:pStyle w:val="Heading2"/>
      </w:pPr>
      <w:r>
        <w:t>Stilldauer und Adipositas-assoziierte Krebsrisiken bei Müttern: 60 Jahre Nachbeobachtung ohne Schutzeffekt</w:t>
      </w:r>
    </w:p>
    <w:p>
      <w:r>
        <w:rPr>
          <w:i/>
          <w:color w:val="666666"/>
          <w:sz w:val="18"/>
        </w:rPr>
        <w:t>Christensen SH et al.  ·  Matern Child Nutr  ·  Juli 2026  ·  PMID 42775711</w:t>
      </w:r>
    </w:p>
    <w:p>
      <w:r>
        <w:t>Dänische Geburtskohortenstudie (n=6.880) untersuchte, ob Stilldauer mit reduziertem Risiko für Adipositas-assoziierte Krebserkrankungen bei Müttern verbunden ist.</w:t>
      </w:r>
    </w:p>
    <w:p>
      <w:r>
        <w:rPr>
          <w:b/>
        </w:rPr>
        <w:t xml:space="preserve">Ergebnis: </w:t>
      </w:r>
      <w:r>
        <w:t>Weder Dauer des ausschließlichen noch irgendeines Stillens zeigte Assoziation mit Adipositas-assoziierten Krebserkrankungen (HR=1,00 [95%-CI: 0,96–1,03] pro Monat), Endometrium-, Ovarial- oder postmenopausalen Brustkrebs über 54 Jahre. Prospektive Studien mit längeren und variablen Stilldauern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Dänemarks Registerdaten, vergleichbares europäisches Versorgungssystem</w:t>
      </w:r>
    </w:p>
    <w:p>
      <w:r>
        <w:rPr>
          <w:color w:val="5A7D3A"/>
          <w:sz w:val="18"/>
        </w:rPr>
        <w:t>https://pubmed.ncbi.nlm.nih.gov/42775711/</w:t>
      </w:r>
    </w:p>
    <w:p>
      <w:pPr>
        <w:pStyle w:val="Heading2"/>
      </w:pPr>
      <w:r>
        <w:t>Sonneneinstrahlung und Schlaf: Geschlechtsspezifische Assoziationen mit Adipositas bei portugiesischen Kindern</w:t>
      </w:r>
    </w:p>
    <w:p>
      <w:r>
        <w:rPr>
          <w:i/>
          <w:color w:val="666666"/>
          <w:sz w:val="18"/>
        </w:rPr>
        <w:t>Dos Santos EA et al.  ·  Am J Hum Biol  ·  Sept. 2026  ·  PMID 42764707</w:t>
      </w:r>
    </w:p>
    <w:p>
      <w:r>
        <w:t>Portugiesische Querschnittsstudie (n=4.755, Alter 3–10 Jahre) untersuchte Zusammenhänge zwischen Sonneneinstrahlung, Schlafverhalten und Adipositasindikatoren.</w:t>
      </w:r>
    </w:p>
    <w:p>
      <w:r>
        <w:rPr>
          <w:b/>
        </w:rPr>
        <w:t xml:space="preserve">Ergebnis: </w:t>
      </w:r>
      <w:r>
        <w:t>Sonneneinstrahlung zeigte geschlechtsspezifische, bescheidene Assoziationen mit Schlafverhalten. Bei Jungen sonntags negative Assoziation (β=–4,57; 95%-CI: –8,22 bis –0,91; p=0,014), bei Mädchen im vollständig adjustierten Modell keine signifikanten Assoziationen. Umwelt- und Verhaltensfaktoren relevant für Adipositäsprävention.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europäisches Primärversorgungssystem, Public-Health-Erhebung</w:t>
      </w:r>
    </w:p>
    <w:p>
      <w:r>
        <w:rPr>
          <w:color w:val="5A7D3A"/>
          <w:sz w:val="18"/>
        </w:rPr>
        <w:t>https://pubmed.ncbi.nlm.nih.gov/42764707/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