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30.10.2026  |  7 Studien  |  adipositas.m-vf.de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Semaglutide: stärkere Gastrointestinal- und Nierenschäden als Tirzepatid im Spontanmeldesystem</w:t>
      </w:r>
    </w:p>
    <w:p>
      <w:r>
        <w:rPr>
          <w:i/>
          <w:color w:val="666666"/>
          <w:sz w:val="18"/>
        </w:rPr>
        <w:t>Arslan T  ·  Endocrine  ·  29.10.2026  ·  PMID 42955519</w:t>
      </w:r>
    </w:p>
    <w:p>
      <w:r>
        <w:t>Retrospektive Pharmakosicherheitsstudie, die 215.337 deduplizierte Berichte der FDA Adverse Event Reporting System (FAERS) von Januar 2022 bis Juni 2026 analysierte; Vergleich von Nebenwirkungsmeldungsmustern zwischen Semaglutid (60.423 Berichte) und Tirzepatid (143.126 Berichte) mittels Reporting Odds Ratios.</w:t>
      </w:r>
    </w:p>
    <w:p>
      <w:r>
        <w:rPr>
          <w:b/>
        </w:rPr>
        <w:t xml:space="preserve">Ergebnis: </w:t>
      </w:r>
      <w:r>
        <w:t>Semaglutid zeigte höhere Meldungsquoten als Tirzepatid für verzögerte Magenentleerung (ROR 6,39), Darmverschluss/Ileus (ROR 4,56), akutes Nierenversagen (ROR 2,51), Pankreatitis (ROR 2,18), Erbrechen (ROR 2,11) und optische ischämische Neuropathie (ROR 15,77). Alopezien wurden relativ häufiger mit Tirzepatid assoziiert (ROR 0,74). Semaglutid-Berichte hatten höhere adjusted Odds für Hospitalisierung (aOR 2,80) und Tod (aOR 1,21). Daten spiegeln Spontanmeldungen wider; kein Kausalitätsnachweis.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Sicherheitssignale für GLP-1-Agonisten in Deutschland relevant; Erstattung durch §34 SGB V ausgeschlossen.</w:t>
      </w:r>
    </w:p>
    <w:p>
      <w:r>
        <w:rPr>
          <w:color w:val="5A7D3A"/>
          <w:sz w:val="18"/>
        </w:rPr>
        <w:t>https://pubmed.ncbi.nlm.nih.gov/42955519/</w:t>
      </w:r>
    </w:p>
    <w:p>
      <w:pPr>
        <w:pStyle w:val="Heading2"/>
      </w:pPr>
      <w:r>
        <w:t>Magenbypässe reduzierten Schlafapnoe, aber Remission blieb selten</w:t>
      </w:r>
    </w:p>
    <w:p>
      <w:r>
        <w:rPr>
          <w:i/>
          <w:color w:val="666666"/>
          <w:sz w:val="18"/>
        </w:rPr>
        <w:t>Bonilla LFS et al.  ·  Sleep Breath  ·  29.10.2026  ·  PMID 42955464</w:t>
      </w:r>
    </w:p>
    <w:p>
      <w:r>
        <w:t>Prospektive Vorher-Nachher-Studie an 30 erwachsenen Patienten mit Adipositas und obstruktiver Schlafapnoe, die sich einem Roux-en-Y-Magenbypässe unterzogen; Messungen vor und etwa 6 Monate nach OP einschließlich Polysomnographie, anthropometrische und Lebensqualitätsmessungen.</w:t>
      </w:r>
    </w:p>
    <w:p>
      <w:r>
        <w:rPr>
          <w:b/>
        </w:rPr>
        <w:t xml:space="preserve">Ergebnis: </w:t>
      </w:r>
      <w:r>
        <w:t>Gewicht sank von 104,4 ± 12,6 auf 68,5 ± 8,9 kg, BMI von 38,77 ± 4,94 auf 25,82 ± 4,28 kg/m², Apnoe-Hypopnoe-Index von 23,70 ± 8,67 auf 8,74 ± 4,35 Ereignisse/Stunde (mittlere Reduktion −14,96 Ereignisse/Stunde; 95%-KI −18,69 bis −11,22; p &lt; 0,001). Residuelle Schlafapnoe (AHI ≥ 5 Ereignisse/Stunde) persistierte bei 15/18 Teilnehmern (83,3%). Sekundäre Outcomes (Schläfrigkeit, Lebensqualität) verbesserten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Kolumbien, aber Fragestellung und Outcome (Schlafapnoe-Remission nach Gewichtsverlust) sind in Deutschland relevant.</w:t>
      </w:r>
    </w:p>
    <w:p>
      <w:r>
        <w:rPr>
          <w:color w:val="5A7D3A"/>
          <w:sz w:val="18"/>
        </w:rPr>
        <w:t>https://pubmed.ncbi.nlm.nih.gov/42955464/</w:t>
      </w:r>
    </w:p>
    <w:p>
      <w:pPr>
        <w:pStyle w:val="Heading2"/>
      </w:pPr>
      <w:r>
        <w:t>Adipositas: kein signifikanter Einfluss auf perioperative Outcomes bei robotisch-assistierter Endometriumkarzinom-Chirurgie</w:t>
      </w:r>
    </w:p>
    <w:p>
      <w:r>
        <w:rPr>
          <w:i/>
          <w:color w:val="666666"/>
          <w:sz w:val="18"/>
        </w:rPr>
        <w:t>Gong J et al.  ·  J Robot Surg  ·  28.10.2026  ·  PMID 42955146</w:t>
      </w:r>
    </w:p>
    <w:p>
      <w:r>
        <w:t>Systematische Übersicht und Metaanalyse von 8 retrospektiven Studien mit insgesamt 1.879 Patienten (Adipositas definiert als BMI ≥ 30 kg/m²); Vergleich perioperativer Outcomes (Operationsdauer, Blutverlust, Liegedauer, Komplikationen) zwischen adipösen und nicht-adipösen Patienten nach robotisch-assistierter Hysterektomie mit Lymphadenektomie wegen Endometriumkarzinom.</w:t>
      </w:r>
    </w:p>
    <w:p>
      <w:r>
        <w:rPr>
          <w:b/>
        </w:rPr>
        <w:t xml:space="preserve">Ergebnis: </w:t>
      </w:r>
      <w:r>
        <w:t>Keine statistisch signifikanten Unterschiede gefunden für Operationsdauer (MD −9,02 min; 95%-KI −21,25 bis 3,20; p = 0,15), Blutverlust (MD 35,69 mL; 95%-KI −40,54 bis 111,93; p = 0,36) oder Liegedauer (MD −0,25 Tage; 95%-KI −0,61 bis 0,10; p = 0,16). Komplikationen: ebenfalls nicht signifikant. Befunde begründen nicht die Äquivalenz; Schätzungen sind unpräzise und potenziell konfundiert.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China; Fragestellung zu chirurgischen Outcomes unabhängig vom Versicherungssystem.</w:t>
      </w:r>
    </w:p>
    <w:p>
      <w:r>
        <w:rPr>
          <w:color w:val="5A7D3A"/>
          <w:sz w:val="18"/>
        </w:rPr>
        <w:t>https://pubmed.ncbi.nlm.nih.gov/42955146/</w:t>
      </w:r>
    </w:p>
    <w:p>
      <w:pPr>
        <w:pStyle w:val="Heading2"/>
      </w:pPr>
      <w:r>
        <w:t>COPD-Patienten: Untergewicht erhöhte, Übergewicht/Adipositas senkte Sterblichkeit</w:t>
      </w:r>
    </w:p>
    <w:p>
      <w:r>
        <w:rPr>
          <w:i/>
          <w:color w:val="666666"/>
          <w:sz w:val="18"/>
        </w:rPr>
        <w:t>Liu Z et al.  ·  Int J Chron Obstruct Pulmon Dis  ·  24.10.2026  ·  PMID 42953401</w:t>
      </w:r>
    </w:p>
    <w:p>
      <w:r>
        <w:t>Retrospektive Kohortenstudie von 9.228 hospitalisierten Patienten mit COPD-Kode aus MIMIC-IV (US-Klinikdatenbank); Analyse der Assoziation zwischen BMI-Kategorie (Untergewicht, Normalgewicht, Übergewicht, Adipositas) und stationärer, 30-, 90- und 360-Tage-Mortalität mit verschiedenen Regressionsmodellen und Sensitivitätsanalysen.</w:t>
      </w:r>
    </w:p>
    <w:p>
      <w:r>
        <w:rPr>
          <w:b/>
        </w:rPr>
        <w:t xml:space="preserve">Ergebnis: </w:t>
      </w:r>
      <w:r>
        <w:t>Im Vergleich zu Normalgewicht waren die 90-Tage-Hazard Ratios 1,523 (95%-KI 1,178–1,969) für Untergewicht, 0,809 (0,687–0,952) für Übergewicht und 0,789 (0,673–0,926) für Adipositas. Die 360-Tage-HRs waren 1,374 (1,134–1,666) für Untergewicht, 0,742 (0,659–0,835) für Übergewicht und 0,713 (0,635–0,801) für Adipositas. Assoziationen waren nicht linear; Übergewicht/Adipositas zeigten konsistent inverse Assoziationen bei 360 Tagen. Beobachtungsdaten; Reverse Causation und Confounding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Phänomen der Mortalitäts-BMI-Paradoxie bei chronischen Erkrankungen ist System- und evidenzunabhängig.</w:t>
      </w:r>
    </w:p>
    <w:p>
      <w:r>
        <w:rPr>
          <w:color w:val="5A7D3A"/>
          <w:sz w:val="18"/>
        </w:rPr>
        <w:t>https://pubmed.ncbi.nlm.nih.gov/42953401/</w:t>
      </w:r>
    </w:p>
    <w:p>
      <w:pPr>
        <w:pStyle w:val="Heading2"/>
      </w:pPr>
      <w:r>
        <w:t>Schulbelastungsabbau erhöhte körperliche Aktivität und senkte Übergewicht bei Kindern</w:t>
      </w:r>
    </w:p>
    <w:p>
      <w:r>
        <w:rPr>
          <w:i/>
          <w:color w:val="666666"/>
          <w:sz w:val="18"/>
        </w:rPr>
        <w:t>Yu W et al.  ·  Front Public Health  ·  14.10.2026  ·  PMID 42952778</w:t>
      </w:r>
    </w:p>
    <w:p>
      <w:r>
        <w:t>Quasi-experimentelle Analyse der chinesischen "Double Reduction"-Politik (Hausaufgabenabbau, Tutoringbeschränkungen), die ab Juli 2021 galt; Vergleich von Schülern der Klassen 1-9 (Interventionsgruppe) mit Gymnasiasten der Klassen 10-12 (Vergleichsgruppe) über Wellen 2018, 2020 und 2022 der China Family Panel Studies.</w:t>
      </w:r>
    </w:p>
    <w:p>
      <w:r>
        <w:rPr>
          <w:b/>
        </w:rPr>
        <w:t xml:space="preserve">Ergebnis: </w:t>
      </w:r>
      <w:r>
        <w:t>Die Politik war mit 43,1 zusätzlichen Minuten moderater bis intensiver körperlicher Aktivität pro Woche assoziiert (95%-KI: 33,8–52,3; p &lt; 0,001) und mit einer Reduktion von Übergewicht/Adipositas um 3,9 Prozentpunkte (95%-KI: −7,2 bis −0,6; p = 0,022) bei Schülern der Interventionsgruppe im Vergleich zur Kontrollgruppe. Größere Effekte zeigten sich bei Grundschülern und Kindern mit niedrigerem Bildungsstand der Eltern. Effekte blieben unter verschiedenen Spezifikationen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Mechanismus (Reduktion schulischer Belastung) und Effekte auf Bewegung und Gewicht unabhängig vom Gesundheitssystem übertragbar.</w:t>
      </w:r>
    </w:p>
    <w:p>
      <w:r>
        <w:rPr>
          <w:color w:val="5A7D3A"/>
          <w:sz w:val="18"/>
        </w:rPr>
        <w:t>https://pubmed.ncbi.nlm.nih.gov/42952778/</w:t>
      </w:r>
    </w:p>
    <w:p>
      <w:pPr>
        <w:pStyle w:val="Heading2"/>
      </w:pPr>
      <w:r>
        <w:t>Blutsviskosität assoziiert nur mit abdominaler Adipositas, nicht mit anderen Metabolischem Syndrom-Komponenten</w:t>
      </w:r>
    </w:p>
    <w:p>
      <w:r>
        <w:rPr>
          <w:i/>
          <w:color w:val="666666"/>
          <w:sz w:val="18"/>
        </w:rPr>
        <w:t>Eibov E et al.  ·  Georgian Med News  ·  Juli 2026  ·  PMID 42830054</w:t>
      </w:r>
    </w:p>
    <w:p>
      <w:r>
        <w:t>Querschnittsstudie an 359 erwachsenen Einwohnern (18–65 Jahre) aus Turkestan, Kasachstan; Messung der berechneten Vollblut-Viskosität (WBV) nach de-Simone-Formeln bei zwei Schergeschwindigkeiten (208 s⁻¹ und 0,5 s⁻¹); Analyse der Assoziationen zwischen WBV und Komponenten des Metabolischen Syndroms (nach IDF-2006-Kriterien) mittels multivariater logistischer Regression adjustiert für Alter, Geschlecht, Ethnizität, Rauchen, Alkoholkonsum.</w:t>
      </w:r>
    </w:p>
    <w:p>
      <w:r>
        <w:rPr>
          <w:b/>
        </w:rPr>
        <w:t xml:space="preserve">Ergebnis: </w:t>
      </w:r>
      <w:r>
        <w:t>Abdominale Adipositas zeigte eine starke dosis-abhängige Assoziation mit WBV: adjusted Odds Ratio für höchstes vs. niedrigstes WBV-Quartil 5,03 (95%-KI 1,62–15,60; p = 0,005) bei 208 s⁻¹ und 4,38 (1,45–13,22; p = 0,009) bei 0,5 s⁻¹. Andere Komponenten (erhöhter Blutdruck, Hypertriglyzeridämie, niedriges HDL, gestörter Glukosestoffwechsel) zeigten keine signifikanten Assoziationen nach Adjustierung. Zusammengesetztes MetS: nicht signifikant (aOR Q4 vs. Q1 = 1,20; p = 0,52).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 (Zentralasien), aber Messmethode und Assoziationen zwischen viszeraler Adiposität und hämoreologischen Markern systemunabhängig.</w:t>
      </w:r>
    </w:p>
    <w:p>
      <w:r>
        <w:rPr>
          <w:color w:val="5A7D3A"/>
          <w:sz w:val="18"/>
        </w:rPr>
        <w:t>https://pubmed.ncbi.nlm.nih.gov/42830054/</w:t>
      </w:r>
    </w:p>
    <w:p>
      <w:pPr>
        <w:pStyle w:val="Heading2"/>
      </w:pPr>
      <w:r>
        <w:t>Höheres mütterliches BMI: pro-inflammatorisches Immunglobulin-Profil bereits im 1. Trimester</w:t>
      </w:r>
    </w:p>
    <w:p>
      <w:r>
        <w:rPr>
          <w:i/>
          <w:color w:val="666666"/>
          <w:sz w:val="18"/>
        </w:rPr>
        <w:t>Voskamp LW et al.  ·  Reprod Sci  ·  17.09.2026  ·  PMID 42754760</w:t>
      </w:r>
    </w:p>
    <w:p>
      <w:r>
        <w:t>Prospektive Kohortenstudie von 202 Frauen mit Einfachgeburten aus der Rotterdam Periconception Cohort; Serum-Proben bei 9, 11, 13, 22 und 32 Schwangerschaftswochen; Analyse von IgG- und IgA-Glykosylierungsmustern (Galaktosylierung, Sialylierung, Fukosylierung, Bisection) und deren Assoziationen mit mütterlichem Alter, Gravidität, BMI und Konzeptionsmodus mittels linearer Mixed-Effects-Modelle.</w:t>
      </w:r>
    </w:p>
    <w:p>
      <w:r>
        <w:rPr>
          <w:b/>
        </w:rPr>
        <w:t xml:space="preserve">Ergebnis: </w:t>
      </w:r>
      <w:r>
        <w:t>Bereits im ersten Trimester zeigten sich Erhöhungen von Galaktosylierung und Sialylierung und Verminderung von Bisection bei IgG und IgA. Höheres BMI war mit pro-inflammatorischem Profil assoziiert (niedrigere IgG-Galaktosylierung, höhere IgG- und IgA-Fukosylierung). Assistierte Reproduktion und Nulliparität zeigten anti-inflammatorische Veränderungen. Glykosylierungsmuster als potenzielle Biomarker für Schwangerschaftsergebnisse.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Versicherungssystem; maternales BMI und Schwangerschaftsimmunologie systemunabhängig.</w:t>
      </w:r>
    </w:p>
    <w:p>
      <w:r>
        <w:rPr>
          <w:color w:val="5A7D3A"/>
          <w:sz w:val="18"/>
        </w:rPr>
        <w:t>https://pubmed.ncbi.nlm.nih.gov/42754760/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