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29.10.2026  |  6 Studien  |  adipositas.m-vf.de</w:t>
      </w:r>
    </w:p>
    <w:p>
      <w:pPr>
        <w:pStyle w:val="Heading1"/>
      </w:pPr>
      <w:r>
        <w:t>Aufgenommen am 29.10.2026</w:t>
      </w:r>
    </w:p>
    <w:p>
      <w:pPr>
        <w:pStyle w:val="Heading2"/>
      </w:pPr>
      <w:r>
        <w:t>TyHGB-Index sagt Typ-2-Diabetes zuverlässiger voraus als BMI</w:t>
      </w:r>
    </w:p>
    <w:p>
      <w:r>
        <w:rPr>
          <w:i/>
          <w:color w:val="666666"/>
          <w:sz w:val="18"/>
        </w:rPr>
        <w:t>Zhang L et al.  ·  Front Endocrinol (Lausanne)  ·  13.10.2026  ·  PMID 42947710</w:t>
      </w:r>
    </w:p>
    <w:p>
      <w:r>
        <w:t>Sekundäranalyse der NAGALA-Kohortenstudie mit 15.453 normoglykämischen Personen zur Vorhersageperformanz des TyHGB-Index (Triglyceride-HDL-Glukose-Körperindex) für Typ-2-Diabetes über Median 5,4 Jahre.</w:t>
      </w:r>
    </w:p>
    <w:p>
      <w:r>
        <w:rPr>
          <w:b/>
        </w:rPr>
        <w:t xml:space="preserve">Ergebnis: </w:t>
      </w:r>
      <w:r>
        <w:t>373 Diabetes-Neuerkrankungen. Jede TyHGB-Einheit erhöhte das Diabetesrisiko um 36 % (HR 1,36, 95%-KI 1,27–1,45). Höchstes vs. niedrigstes Quartil: HR 5,68 (95%-KI 2,84–11,36). Nichtlinearer Zusammenhang mit Inflexionspunkt bei TyHGB = 6,748. Zeitabhängige ROC: TyHGB zeigte konsistent höchste AUC zur 3-, 5- und 10-Jahres-Vorhersage im Vergleich zu Standard-Indizes.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Kohortendaten; Index-Konzept für universelle Risikoschichtung geeignet</w:t>
      </w:r>
    </w:p>
    <w:p>
      <w:r>
        <w:rPr>
          <w:color w:val="5A7D3A"/>
          <w:sz w:val="18"/>
        </w:rPr>
        <w:t>https://pubmed.ncbi.nlm.nih.gov/42947710/</w:t>
      </w:r>
    </w:p>
    <w:p>
      <w:pPr>
        <w:pStyle w:val="Heading2"/>
      </w:pPr>
      <w:r>
        <w:t>Metabolisches Syndrom bei Brustkrebs-Diagnose verdoppelte Sterblichkeitsrisiko</w:t>
      </w:r>
    </w:p>
    <w:p>
      <w:r>
        <w:rPr>
          <w:i/>
          <w:color w:val="666666"/>
          <w:sz w:val="18"/>
        </w:rPr>
        <w:t>Prado V et al.  ·  BMC Cancer  ·  31.07.2026  ·  PMID 42947051</w:t>
      </w:r>
    </w:p>
    <w:p>
      <w:r>
        <w:t>Prospektive Kohortenstudie an 126 Frauen mit Brustkrebs in einem brasilianischen öffentlichen Krankenhaus, die metabolische Gesundheit bei Diagnose und Sterberisiko über zwei Jahre verfolgte.</w:t>
      </w:r>
    </w:p>
    <w:p>
      <w:r>
        <w:rPr>
          <w:b/>
        </w:rPr>
        <w:t xml:space="preserve">Ergebnis: </w:t>
      </w:r>
      <w:r>
        <w:t>Frauen mit metabolischem Syndrom bei Diagnose hatten eine höhere Sterblichkeit (73 % vs. 41 % bei Überlebenden, p = 0,020) und ein 9,09-fach erhöhtes Mortalitätsrisiko (95%-KI 1,73–47,9). Fasting-Glukose war bei verstorbenen Patientinnen signifikant höher (p = 0,021). Die Quoten einzelner metabolischer Komponenten blieben über zwei Jahre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Öffentliches Gesundheitssystem, vergleichbar mit Deutschland bei Erfassungsgründlichkeit</w:t>
      </w:r>
    </w:p>
    <w:p>
      <w:r>
        <w:rPr>
          <w:color w:val="5A7D3A"/>
          <w:sz w:val="18"/>
        </w:rPr>
        <w:t>https://pubmed.ncbi.nlm.nih.gov/42947051/</w:t>
      </w:r>
    </w:p>
    <w:p>
      <w:pPr>
        <w:pStyle w:val="Heading2"/>
      </w:pPr>
      <w:r>
        <w:t>Perioperative Gewichtszunahme sagt schwere Komplikationen nach Magenoperationen voraus</w:t>
      </w:r>
    </w:p>
    <w:p>
      <w:r>
        <w:rPr>
          <w:i/>
          <w:color w:val="666666"/>
          <w:sz w:val="18"/>
        </w:rPr>
        <w:t>Ravenel M et al.  ·  Langenbecks Arch Surg  ·  30.07.2026  ·  PMID 42944904</w:t>
      </w:r>
    </w:p>
    <w:p>
      <w:r>
        <w:t>Retrospektive Analyse von 1.402 Patienten an einem Schweizer Zentrum zur Vorhersagekraft der Gewichtszunahme am postoperativen Tag 2 für Komplikationen nach großen Magen-Darm-Operationen (≥120 min Dauer).</w:t>
      </w:r>
    </w:p>
    <w:p>
      <w:r>
        <w:rPr>
          <w:b/>
        </w:rPr>
        <w:t xml:space="preserve">Ergebnis: </w:t>
      </w:r>
      <w:r>
        <w:t>Gewichtszunahme ≥2,6 kg am POD 2 war unabhängiger Prädiktor schwerer Komplikationen (Clavien ≥II: 38,2 % vs. 20,7 %, p &lt; 0,001; adjustierte OR 1,49, 95%-KI 1,03–2,16, p = 0,033). AUC 0,614. Negative Vorhersagekraft 79 %. Patienten mit höherer Gewichtszunahme hatten mehr Anastomosenlecks (9,2 % vs. 5,0 %, p = 0,002) und höhere Komplikationsindices.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 Dokumentation und Versorgungsstruktur</w:t>
      </w:r>
    </w:p>
    <w:p>
      <w:r>
        <w:rPr>
          <w:color w:val="5A7D3A"/>
          <w:sz w:val="18"/>
        </w:rPr>
        <w:t>https://pubmed.ncbi.nlm.nih.gov/42944904/</w:t>
      </w:r>
    </w:p>
    <w:p>
      <w:pPr>
        <w:pStyle w:val="Heading2"/>
      </w:pPr>
      <w:r>
        <w:t>Roboterassistierte Pankreasoperation bei Adipositas: weniger Komplikationen</w:t>
      </w:r>
    </w:p>
    <w:p>
      <w:r>
        <w:rPr>
          <w:i/>
          <w:color w:val="666666"/>
          <w:sz w:val="18"/>
        </w:rPr>
        <w:t>Valle V et al.  ·  BJS Open  ·  04.09.2026  ·  PMID 42944612</w:t>
      </w:r>
    </w:p>
    <w:p>
      <w:r>
        <w:t>Propensity-Score-Matching-Analyse von 332 Patienten (166 pro Gruppe) aus 31 Zentren zum Vergleich roboter-assistierter vs. offener Pankreasduodenektomie bei Adipositas (BMI ≥30).</w:t>
      </w:r>
    </w:p>
    <w:p>
      <w:r>
        <w:rPr>
          <w:b/>
        </w:rPr>
        <w:t xml:space="preserve">Ergebnis: </w:t>
      </w:r>
      <w:r>
        <w:t>Roboter-assistierte Chirurgie (RPD) zeigte signifikant niedrigere Raten schwerer Komplikationen (15,7 % vs. 27,7 %, p = 0,007), klinisch relevanter Pankreaspfisteln (8,4 % vs. 18 %, p = 0,011) und Wundinfektionen (4,2 % vs. 21 %, p &lt; 0,001). Blutungsverlust 100 vs. 200 ml, Liegedauer 11 vs. 17 Tage. Institutionelle Erfahrung (≥20 roboterassistierte Eingriffe) war unabhängiger Schutzfaktor (OR 0,36–0,39).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Chirurgische Technik, Ergebnisse übertragbar auf deutsche Zentren bei entsprechender Expertise</w:t>
      </w:r>
    </w:p>
    <w:p>
      <w:r>
        <w:rPr>
          <w:color w:val="5A7D3A"/>
          <w:sz w:val="18"/>
        </w:rPr>
        <w:t>https://pubmed.ncbi.nlm.nih.gov/42944612/</w:t>
      </w:r>
    </w:p>
    <w:p>
      <w:pPr>
        <w:pStyle w:val="Heading2"/>
      </w:pPr>
      <w:r>
        <w:t>Armut treibt Mangel: Adipositas-Epidemie als ökonomisches Versorgungsproblem</w:t>
      </w:r>
    </w:p>
    <w:p>
      <w:r>
        <w:rPr>
          <w:i/>
          <w:color w:val="666666"/>
          <w:sz w:val="18"/>
        </w:rPr>
        <w:t>Shvets YY  ·  Probl Sotsialnoi Gig Zdravookhranenniiai Istor Med  ·  15.12.2026  ·  PMID 42904727</w:t>
      </w:r>
    </w:p>
    <w:p>
      <w:r>
        <w:t>Ökologische Analyse russischer Routinedaten (Rosstat) und regionaler Biomarker-Überwachung 2019–2022 zur Assoziation zwischen wirtschaftlichen Indikatoren (Einkommen, Inflation) und Mikronährstoffstatus bei der Adipositas-Epidemie.</w:t>
      </w:r>
    </w:p>
    <w:p>
      <w:r>
        <w:rPr>
          <w:b/>
        </w:rPr>
        <w:t xml:space="preserve">Ergebnis: </w:t>
      </w:r>
      <w:r>
        <w:t>Stetiger Rückgang der Selenium-, Zink- und Eisenversorgung. Spearman-Korrelation: Starke positive Beziehung zwischen Einkommen und Kupferkonsum (0,8–1,0), negative für Toxikanten. Inflation und Lebensmittelkostenanteil (36,6 % der Ausgaben) zwangen vulnerable Gruppen zu billigen, energiedichten, mikronährstoffarmen Lebensmitteln. Sozioökonomischer Gradient der Adipositas erkannt.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Russland, Strukturen unterscheiden sich; konzeptioneller Vergleich zu deutschen Sozialgradienten möglich</w:t>
      </w:r>
    </w:p>
    <w:p>
      <w:r>
        <w:rPr>
          <w:color w:val="5A7D3A"/>
          <w:sz w:val="18"/>
        </w:rPr>
        <w:t>https://pubmed.ncbi.nlm.nih.gov/42904727/</w:t>
      </w:r>
    </w:p>
    <w:p>
      <w:pPr>
        <w:pStyle w:val="Heading2"/>
      </w:pPr>
      <w:r>
        <w:t>Mikronährstoffmängel nach Adipositaschirurgie: Leitlinien-Implementierung unvollständig</w:t>
      </w:r>
    </w:p>
    <w:p>
      <w:r>
        <w:rPr>
          <w:i/>
          <w:color w:val="666666"/>
          <w:sz w:val="18"/>
        </w:rPr>
        <w:t>Holt G et al.  ·  Obes Surg  ·  01.10.2026  ·  PMID 42821213</w:t>
      </w:r>
    </w:p>
    <w:p>
      <w:r>
        <w:t>Multizentrische retrospektive Kohortenstudie an 669 Patienten in 13 britischen bariatrischen Zentren zur Prävalenz von Mikronährstoffmängeln und Einhaltung der Überwachungsleitlinien in den ersten 12 Monaten nach Adipositaschirurgie.</w:t>
      </w:r>
    </w:p>
    <w:p>
      <w:r>
        <w:rPr>
          <w:b/>
        </w:rPr>
        <w:t xml:space="preserve">Ergebnis: </w:t>
      </w:r>
      <w:r>
        <w:t>Zink- und Selenmangel traten häufig auf (Zink nach Sleeve-Gastrektomie bei 12 Monaten: 32,2 % vs. 26,0 % nach Bypass). Blutmonitoring war inkonsistent (33,7 % bei 3 Monaten, 88,4 % bei 12 Monaten). Etwa zwei Drittel berichteten volle Supplementations-Adhärenz. Leitlinien-Implementierung ist in der Routine unvollständig.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Struktur, NHS-Daten, direkter Vergleich zu deutschen Kliniken möglich</w:t>
      </w:r>
    </w:p>
    <w:p>
      <w:r>
        <w:rPr>
          <w:color w:val="5A7D3A"/>
          <w:sz w:val="18"/>
        </w:rPr>
        <w:t>https://pubmed.ncbi.nlm.nih.gov/42821213/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2026-10-29T06:00:00Z</dcterms:created>
  <dcterms:modified xsi:type="dcterms:W3CDTF">2026-10-29T06:00:00Z</dcterms:modified>
  <cp:category/>
</cp:coreProperties>
</file>