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Adipositas</w:t>
      </w:r>
    </w:p>
    <w:p>
      <w:r>
        <w:rPr>
          <w:i/>
          <w:color w:val="666666"/>
          <w:sz w:val="18"/>
        </w:rPr>
        <w:t>Stand: 24.09.2026  |  6 Studien  |  adipositas.m-vf.de</w:t>
      </w:r>
    </w:p>
    <w:p>
      <w:pPr>
        <w:pStyle w:val="Heading1"/>
      </w:pPr>
      <w:r>
        <w:t>Aufgenommen am 24.09.2026</w:t>
      </w:r>
    </w:p>
    <w:p>
      <w:pPr>
        <w:pStyle w:val="Heading2"/>
      </w:pPr>
      <w:r>
        <w:t>Adipositas nach Erdbeben: Frauenanteil 35,5%, Prävention in Containersiedlungen möglich</w:t>
      </w:r>
    </w:p>
    <w:p>
      <w:r>
        <w:rPr>
          <w:i/>
          <w:color w:val="666666"/>
          <w:sz w:val="18"/>
        </w:rPr>
        <w:t>Kurt O et al.  ·  BMJ Open  ·  23.09.2026  ·  PMID 42778259</w:t>
      </w:r>
    </w:p>
    <w:p>
      <w:r>
        <w:t>Querschnittstudie in Containersiedelungen nach dem Erdbeben 2023 in der Türkei (Juni–Oktober 2025, 24–32 Monate später) mit 563 Erwachsenen zur Erfassung unabhängiger Adipositas-Einflussfaktoren.</w:t>
      </w:r>
    </w:p>
    <w:p>
      <w:r>
        <w:rPr>
          <w:b/>
        </w:rPr>
        <w:t xml:space="preserve">Ergebnis: </w:t>
      </w:r>
      <w:r>
        <w:t>Adipositasprävalenz 28,8% (Standardisierung auf gleiche Geschlechtsverteilung: 24,4%), deutlich höher bei Frauen als Männern (35,5% vs. 13,5%). Unabhängig assoziiert: weibliches Geschlecht (AOR 3,46), Alter ≥55 Jahre (AOR 2,44), schnelles Essen (AOR 2,28), Übergewicht in der Kindheit (AOR 1,93), chronische Erkrankung (AOR 1,85), niedriges Haushaltseinkommen (AOR 1,73). Unterschiede zwischen Siedlungen (18,8–66,7%, p&lt;0,001) zeigen relevante Umgebungseffekte.</w:t>
      </w:r>
    </w:p>
    <w:p>
      <w:r>
        <w:rPr>
          <w:b/>
          <w:sz w:val="19"/>
        </w:rPr>
        <w:t xml:space="preserve">Übertragbarkeit: </w:t>
      </w:r>
      <w:r>
        <w:rPr>
          <w:sz w:val="19"/>
        </w:rPr>
        <w:t>Türkei, vergleichbare ressourcenbegrenzte Gesundheitssysteme, Vulnerable Populationen</w:t>
      </w:r>
    </w:p>
    <w:p>
      <w:r>
        <w:rPr>
          <w:color w:val="5A7D3A"/>
          <w:sz w:val="18"/>
        </w:rPr>
        <w:t>https://pubmed.ncbi.nlm.nih.gov/42778259/</w:t>
      </w:r>
    </w:p>
    <w:p>
      <w:pPr>
        <w:pStyle w:val="Heading2"/>
      </w:pPr>
      <w:r>
        <w:t>Adipositaschirurgie bei MASLD: Fibroseregression und Reduktion von HCC-Inzidenz belegt</w:t>
      </w:r>
    </w:p>
    <w:p>
      <w:r>
        <w:rPr>
          <w:i/>
          <w:color w:val="666666"/>
          <w:sz w:val="18"/>
        </w:rPr>
        <w:t>Tuffs C et al.  ·  Z Gastroenterol  ·  23.09.2026  ·  PMID 42777698</w:t>
      </w:r>
    </w:p>
    <w:p>
      <w:r>
        <w:t>Narrative Übersichtsarbeit zur metabolischen und bariatrischen Chirurgie (MBS) bei metabolischer Dysfunktion-assoziierter steatotischer Lebererkrankung (MASLD): Synthese von Evidenz zu klinischen Outcomes, Wirksamkeit und Mechanismen mit Fokus auf Folgeerkrankungen.</w:t>
      </w:r>
    </w:p>
    <w:p>
      <w:r>
        <w:rPr>
          <w:b/>
        </w:rPr>
        <w:t xml:space="preserve">Ergebnis: </w:t>
      </w:r>
      <w:r>
        <w:t>Histologie-basierte Studien zeigen MASLD-Remission und relevante Fibroseregression nach MBS mit anhaltenden Effekten. Vergleichende Studien belegen Überlegenheit gegenüber Lebensstilintervention und konservativer Therapie; direkte Vergleiche mit modernen Medikamenten (z. B. GLP-1-Agonisten) sind begrenzt. Neue Erkenntnisse deuten auf weniger Leberkomplikationen und niedrigere HCC-Inzidenz nach MBS hin. MBS wirkt nicht nur durch Gewichtsverlust, sondern durch multiple metabolische Effekte (Hepatische Lipidmetabolismus, Mitochondrienfunktion, Glukosemetabolismus, Inkretin- und Gallensäure-Signaling, Adipokinobiologie, Gut-Leber-Achse).</w:t>
      </w:r>
    </w:p>
    <w:p>
      <w:r>
        <w:rPr>
          <w:b/>
          <w:sz w:val="19"/>
        </w:rPr>
        <w:t xml:space="preserve">Übertragbarkeit: </w:t>
      </w:r>
      <w:r>
        <w:rPr>
          <w:sz w:val="19"/>
        </w:rPr>
        <w:t>Deutschland, Universitätsklinik Gießen, Adipositaschirurgie Regelversorgung, Kostenübernahme durch Einzelfallprüfung</w:t>
      </w:r>
    </w:p>
    <w:p>
      <w:r>
        <w:rPr>
          <w:color w:val="5A7D3A"/>
          <w:sz w:val="18"/>
        </w:rPr>
        <w:t>https://pubmed.ncbi.nlm.nih.gov/42777698/</w:t>
      </w:r>
    </w:p>
    <w:p>
      <w:pPr>
        <w:pStyle w:val="Heading2"/>
      </w:pPr>
      <w:r>
        <w:t>Lebensstiländerungen erhöhen regelmäßige Menstruation bei PCOS um 303%, senken Glucose und Insulin</w:t>
      </w:r>
    </w:p>
    <w:p>
      <w:r>
        <w:rPr>
          <w:i/>
          <w:color w:val="666666"/>
          <w:sz w:val="18"/>
        </w:rPr>
        <w:t>Olalere O et al.  ·  PLoS Med  ·  23.09.2026  ·  PMID 42776991</w:t>
      </w:r>
    </w:p>
    <w:p>
      <w:r>
        <w:t>Systematische Übersicht und Metaanalyse von 34 RCTs mit 1.871 Frauen zum Vergleich von Lebensstiländerungen versus minimale oder keine Behandlung bei Polyendokrinem Metabolischem Ovarialsyndrom (PMOS).</w:t>
      </w:r>
    </w:p>
    <w:p>
      <w:r>
        <w:rPr>
          <w:b/>
        </w:rPr>
        <w:t xml:space="preserve">Ergebnis: </w:t>
      </w:r>
      <w:r>
        <w:t>Frauen mit Lebensstiländerungen zeigten höhere Chancen für regelmäßige Menstruationszyklen (OR 4,03, 95% CI 1,16–14,05). Reduktion der Taillenumfang (MD −2,38 cm, 95% CI −4,68 bis −0,08), Nüchternglukose (MD −0,13 mmol/L, 95% CI −0,25 bis −0,02) und Nüchterninsulin (MD −6,08 mU/L, 95% CI −9,86 bis −2,30) gegenüber Kontrollgruppe. Diät wirkte am stärksten auf Glukose, Bewegung auf Taillenumfang und Nüchterninsulin. Effekte größer bei Übergewicht/Adipositas.</w:t>
      </w:r>
    </w:p>
    <w:p>
      <w:r>
        <w:rPr>
          <w:b/>
          <w:sz w:val="19"/>
        </w:rPr>
        <w:t xml:space="preserve">Übertragbarkeit: </w:t>
      </w:r>
      <w:r>
        <w:rPr>
          <w:sz w:val="19"/>
        </w:rPr>
        <w:t>Internationale, gut übertragbar auf deutsches Gesundheitssystem</w:t>
      </w:r>
    </w:p>
    <w:p>
      <w:r>
        <w:rPr>
          <w:color w:val="5A7D3A"/>
          <w:sz w:val="18"/>
        </w:rPr>
        <w:t>https://pubmed.ncbi.nlm.nih.gov/42776991/</w:t>
      </w:r>
    </w:p>
    <w:p>
      <w:pPr>
        <w:pStyle w:val="Heading2"/>
      </w:pPr>
      <w:r>
        <w:t>Multikomponentige Interventionen senken Übergewicht bei Kindern wirksamer als Einzelmaßnahmen</w:t>
      </w:r>
    </w:p>
    <w:p>
      <w:r>
        <w:rPr>
          <w:i/>
          <w:color w:val="666666"/>
          <w:sz w:val="18"/>
        </w:rPr>
        <w:t>Chandiok K et al.  ·  Front Public Health  ·  08.09.2026  ·  PMID 42774859</w:t>
      </w:r>
    </w:p>
    <w:p>
      <w:r>
        <w:t>Rapid Review von 77 systematischen Übersichten zu Präventions- und Managementinterventionen bei Übergewicht und Adipositas im Kindes- und Jugendalter.</w:t>
      </w:r>
    </w:p>
    <w:p>
      <w:r>
        <w:rPr>
          <w:b/>
        </w:rPr>
        <w:t xml:space="preserve">Ergebnis: </w:t>
      </w:r>
      <w:r>
        <w:t>Multikomponentige Interventionen, die Ernährung, Bewegung und Verhaltensstrategien kombinieren, zeigten die konsistenteste Wirksamkeit bei Verbesserung anthropometrischer Outcomes. Familieneinbeziehung, schulische Durchführung und frühzeitige Intervention in der Kindheit erhöhten die Effektivität. Einzelkomponentige Interventionen zeigten begrenzte oder gemischte Effekte. Die meisten eingeschlossenen Reviews hatten niedriger bis kritisch niedriger methodischer Qualität.</w:t>
      </w:r>
    </w:p>
    <w:p>
      <w:r>
        <w:rPr>
          <w:b/>
          <w:sz w:val="19"/>
        </w:rPr>
        <w:t xml:space="preserve">Übertragbarkeit: </w:t>
      </w:r>
      <w:r>
        <w:rPr>
          <w:sz w:val="19"/>
        </w:rPr>
        <w:t>Internationale Evidenz; Implementierbarkeit in deutschen Schulen und Kitas unklar</w:t>
      </w:r>
    </w:p>
    <w:p>
      <w:r>
        <w:rPr>
          <w:color w:val="5A7D3A"/>
          <w:sz w:val="18"/>
        </w:rPr>
        <w:t>https://pubmed.ncbi.nlm.nih.gov/42774859/</w:t>
      </w:r>
    </w:p>
    <w:p>
      <w:pPr>
        <w:pStyle w:val="Heading2"/>
      </w:pPr>
      <w:r>
        <w:t>Adipositas als verkörperter und sozialer Burden: Qualitative Analyse von 23 Patienten mit realistischer Körperwahrnehmung</w:t>
      </w:r>
    </w:p>
    <w:p>
      <w:r>
        <w:rPr>
          <w:i/>
          <w:color w:val="666666"/>
          <w:sz w:val="18"/>
        </w:rPr>
        <w:t>Kurt AK et al.  ·  BMC Psychol  ·  26.08.2026  ·  PMID 42773484</w:t>
      </w:r>
    </w:p>
    <w:p>
      <w:r>
        <w:t>Qualitative interpretivist Studie mit 23 Erwachsenen einer Adipositasambulanz (Mai–August 2025) mit realistischer Körperwahrnehmung (Konkordanz zwischen gemessenem BMI und ausgewählter Silhouette), mittels 20–30 min Interviews und Thematischer Analyse nach Braun &amp; Clarke.</w:t>
      </w:r>
    </w:p>
    <w:p>
      <w:r>
        <w:rPr>
          <w:b/>
        </w:rPr>
        <w:t xml:space="preserve">Ergebnis: </w:t>
      </w:r>
      <w:r>
        <w:t>Vier übergeordnete Themen: (1) Gesundheit, Funktionsfähigkeit und tägliches Leben (Adipositas als durchdringende Belastung, die alltägliche Aktivitäten einschränkt); (2) Körperbild und emotionale Erfahrung (emotional belastend durch negative Körperwahrnehmung und soziale Stigmatisierung); (3) Erklärungsmodelle und wahrgenommene Ursachen (multifaktoriale Narrative: Lebensstil, Stress, Biologie/Medikation, Haushaltsroutinen, Food Environment); (4) Kampf um Veränderung und Lösungssuche (wiederholte Zyklen von Versuchen, Plateaus und Wiederzunahme, starker Wunsch nach professioneller Unterstützung).</w:t>
      </w:r>
    </w:p>
    <w:p>
      <w:r>
        <w:rPr>
          <w:b/>
          <w:sz w:val="19"/>
        </w:rPr>
        <w:t xml:space="preserve">Übertragbarkeit: </w:t>
      </w:r>
      <w:r>
        <w:rPr>
          <w:sz w:val="19"/>
        </w:rPr>
        <w:t>Türkei, urbaner klinischer Kontext, grundlegende Mechanismen der Versorgung</w:t>
      </w:r>
    </w:p>
    <w:p>
      <w:r>
        <w:rPr>
          <w:color w:val="5A7D3A"/>
          <w:sz w:val="18"/>
        </w:rPr>
        <w:t>https://pubmed.ncbi.nlm.nih.gov/42773484/</w:t>
      </w:r>
    </w:p>
    <w:p>
      <w:pPr>
        <w:pStyle w:val="Heading2"/>
      </w:pPr>
      <w:r>
        <w:t>Orale und Darm-Mikrobiota vor Adipositaschirurgie vorhersagen Gewichtsverlust nach Operation</w:t>
      </w:r>
    </w:p>
    <w:p>
      <w:r>
        <w:rPr>
          <w:i/>
          <w:color w:val="666666"/>
          <w:sz w:val="18"/>
        </w:rPr>
        <w:t>Alwali A et al.  ·  Clin Nutr ESPEN  ·  12.08.2026  ·  PMID 42586481</w:t>
      </w:r>
    </w:p>
    <w:p>
      <w:r>
        <w:t>Pilotstudie mit 33 Patienten unter bariatrischer Chirurgie: Erfassung von Stuhlfauna, oralem Mikrobiom, Serum und Fettgewebe präoperativ und 6 Monate postoperativ mit 16S-rRNA-Sequenzierung zur Vorhersage des Überschussgewichtsverlusts (EWL).</w:t>
      </w:r>
    </w:p>
    <w:p>
      <w:r>
        <w:rPr>
          <w:b/>
        </w:rPr>
        <w:t xml:space="preserve">Ergebnis: </w:t>
      </w:r>
      <w:r>
        <w:t>Höhere Diversität der oralen Mikrobiota präoperativ war mit stärkerem postoperativem EWL assoziiert. Stuhlfauna-Diversität stieg nach OP und korrelierte mit EWL. Erhöhte postoperative Häufigkeit von Alistipes bei besten EWL-Ergebnissen. Veillonella im Mund präoperativ positiv mit Response assoziiert. Bakterielle Profile in subkutanem Fett (nicht viszeral, nicht Serum) zeigten Assoziation mit EWL (R²=0,097, p=0,006) und BMI (R²=0,055, p=0,017).</w:t>
      </w:r>
    </w:p>
    <w:p>
      <w:r>
        <w:rPr>
          <w:b/>
          <w:sz w:val="19"/>
        </w:rPr>
        <w:t xml:space="preserve">Übertragbarkeit: </w:t>
      </w:r>
      <w:r>
        <w:rPr>
          <w:sz w:val="19"/>
        </w:rPr>
        <w:t>Deutschland, schleswig-holsteinische Universitätskliniken, vergleichbare Versorgungsstrukturen</w:t>
      </w:r>
    </w:p>
    <w:p>
      <w:r>
        <w:rPr>
          <w:color w:val="5A7D3A"/>
          <w:sz w:val="18"/>
        </w:rPr>
        <w:t>https://pubmed.ncbi.nlm.nih.gov/42586481/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Adipositas</dc:title>
  <dc:subject/>
  <dc:creator>Monitor Versorgungsforschung</dc:creator>
  <cp:keywords/>
  <dc:description>generated by python-docx</dc:description>
  <cp:lastModifiedBy/>
  <cp:revision>1</cp:revision>
  <dcterms:created xsi:type="dcterms:W3CDTF">2026-09-24T06:00:00Z</dcterms:created>
  <dcterms:modified xsi:type="dcterms:W3CDTF">2026-09-24T06:00:00Z</dcterms:modified>
  <cp:category/>
</cp:coreProperties>
</file>