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20.09.2026  |  6 Studien  |  adipositas.m-vf.de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Einkommenslücke überlagert Adipositastrends bei schwedischen Kindern 2008-2017</w:t>
      </w:r>
    </w:p>
    <w:p>
      <w:r>
        <w:rPr>
          <w:i/>
          <w:color w:val="666666"/>
          <w:sz w:val="18"/>
        </w:rPr>
        <w:t>Bygdell M et al.  ·  BMC Public Health  ·  18.09.2026  ·  PMID 42760546</w:t>
      </w:r>
    </w:p>
    <w:p>
      <w:r>
        <w:t>Longitudinale Analyse von 210.927 Kindern seit 1952 dokumentiert erstmals eine Umkehrung von BMI-Trends – während wohlhabende Familien stabilisierten, stieg Übergewicht bei Kindern aus armen und Migrantenfamilien weiter an.</w:t>
      </w:r>
    </w:p>
    <w:p>
      <w:r>
        <w:rPr>
          <w:b/>
        </w:rPr>
        <w:t xml:space="preserve">Ergebnis: </w:t>
      </w:r>
      <w:r>
        <w:t>Nach anfänglichem Anstieg 1974–2001 und kurzem Rückgang 2002–2006 zeigten sich ab 2008 divergente Trends: Kinder mit hochgebildeten, einheimischen Eltern mit hohem Einkommen stabilisierten sich; Kinder mit niedriger Elternausbildung verschlechterten sich unabhängig vom Einkommen und Herkunftsland. Niedriges Elterneinkommen war der dominanteste Risikofaktor.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longitudinales Bevölkerungskohorten-Design mit Sozialstatusangaben</w:t>
      </w:r>
    </w:p>
    <w:p>
      <w:r>
        <w:rPr>
          <w:color w:val="5A7D3A"/>
          <w:sz w:val="18"/>
        </w:rPr>
        <w:t>https://pubmed.ncbi.nlm.nih.gov/42760546/</w:t>
      </w:r>
    </w:p>
    <w:p>
      <w:pPr>
        <w:pStyle w:val="Heading2"/>
      </w:pPr>
      <w:r>
        <w:t>Strukturelles Screening auf Metabolische Krankheit bei Kindern unter 12 Jahren verbessert langfristige Kardiometabolik</w:t>
      </w:r>
    </w:p>
    <w:p>
      <w:r>
        <w:rPr>
          <w:i/>
          <w:color w:val="666666"/>
          <w:sz w:val="18"/>
        </w:rPr>
        <w:t>Lindquist M et al.  ·  Mo Med  ·  Juli 2026  ·  PMID 42757297</w:t>
      </w:r>
    </w:p>
    <w:p>
      <w:r>
        <w:t>Narrative Übersichtsarbeit, die zeigt, dass Wartebeobachtung ('watchful waiting') bei adipösen Kindern unter 12 Jahren fehlschlägt – bereits massiv Insulinresistenz, Fettstoffwechselstörung und Fettleber vorhanden sind, Pubertät das nicht rückgängig macht.</w:t>
      </w:r>
    </w:p>
    <w:p>
      <w:r>
        <w:rPr>
          <w:b/>
        </w:rPr>
        <w:t xml:space="preserve">Ergebnis: </w:t>
      </w:r>
      <w:r>
        <w:t>Evidenzübersicht zeigt: Adipöse Kinder unter 12 Jahren haben bereits klinisch relevante Insulinresistenz (HOMA-IR erhöht), Dyslipidämie, Dysglykämie und metabolische Dysfunktion-assoziierte Steatose-Hepatitis (MASLD) – oft asymptomatisch. Pubertät verschärft durch physiologische Insulinresistenz den Verlauf statt ihn zu verbessern. Metabolische Memoria führt zu potenziell irreversibler Schädigung in kritischer Entwicklungsphase.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USA-Übersicht, aber Biologie des metabolischen Gedächtnisses unabhängig von System</w:t>
      </w:r>
    </w:p>
    <w:p>
      <w:r>
        <w:rPr>
          <w:color w:val="5A7D3A"/>
          <w:sz w:val="18"/>
        </w:rPr>
        <w:t>https://pubmed.ncbi.nlm.nih.gov/42757297/</w:t>
      </w:r>
    </w:p>
    <w:p>
      <w:pPr>
        <w:pStyle w:val="Heading2"/>
      </w:pPr>
      <w:r>
        <w:t>Ständige Erreichbarkeit in der Arbeit erhöht Übergewichtsrisiko bei chinesischen Arbeitnehmern um 1,9 %</w:t>
      </w:r>
    </w:p>
    <w:p>
      <w:r>
        <w:rPr>
          <w:i/>
          <w:color w:val="666666"/>
          <w:sz w:val="18"/>
        </w:rPr>
        <w:t>Wang H et al.  ·  Front Public Health  ·  03.09.2026  ·  PMID 42756165</w:t>
      </w:r>
    </w:p>
    <w:p>
      <w:r>
        <w:t>Analyse von 16.969 Beobachtungen aus China Family Panel Studies zur Assoziation zwischen Anforderung ständiger beruflicher Verfügbarkeit (WREA) und Übergewicht/Adipositas mit Subgruppenanalysen.</w:t>
      </w:r>
    </w:p>
    <w:p>
      <w:r>
        <w:rPr>
          <w:b/>
        </w:rPr>
        <w:t xml:space="preserve">Ergebnis: </w:t>
      </w:r>
      <w:r>
        <w:t>WREA war mit erhöhter Prävalenz von Übergewicht (durchschnittlicher marginaler Effekt 0,019, 95%-KI 0,011–0,028) und Adipositas (AME 0,012, 95%-KI 0,007–0,019) assoziiert. Effekte stärker bei Männern, mittlerer Bildung und Alter 30–50 Jahre. Effekte variierten nach WREA-Typ (vertragsbasiert, digital aktiviert). Längsanalyse lieferte keine Evidenz für prospektive Assoziation. 53,29 % Arbeiter exponiert.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Arbeitsstress-Adipositas-Assoziation generisch, Modell replizierbar</w:t>
      </w:r>
    </w:p>
    <w:p>
      <w:r>
        <w:rPr>
          <w:color w:val="5A7D3A"/>
          <w:sz w:val="18"/>
        </w:rPr>
        <w:t>https://pubmed.ncbi.nlm.nih.gov/42756165/</w:t>
      </w:r>
    </w:p>
    <w:p>
      <w:pPr>
        <w:pStyle w:val="Heading2"/>
      </w:pPr>
      <w:r>
        <w:t>Gewichtszentrisch vs. nicht-gewichtszentrisch: Adipositasbehandlung in Kindermedizin darf nicht stigmatisierend wirken</w:t>
      </w:r>
    </w:p>
    <w:p>
      <w:r>
        <w:rPr>
          <w:i/>
          <w:color w:val="666666"/>
          <w:sz w:val="18"/>
        </w:rPr>
        <w:t>Asso Ministral L et al.  ·  Rev Esp Salud Publica  ·  11.09.2026  ·  PMID 42752590</w:t>
      </w:r>
    </w:p>
    <w:p>
      <w:r>
        <w:t>Katalanische Public-Health-Stellungnahme, dass systematische Gewichtsmessung bei Kindern Selbstwertgefühl schadet und soziale Determinanten ignoriert – Aufruf zu nicht-stigmatisierendem Ansatz, der Wohlbefinden, Bewegung und Lebensbedingungen statt BMI-Reduktion in Mittelpunkt stellt.</w:t>
      </w:r>
    </w:p>
    <w:p>
      <w:r>
        <w:rPr>
          <w:b/>
        </w:rPr>
        <w:t xml:space="preserve">Ergebnis: </w:t>
      </w:r>
      <w:r>
        <w:t>Evidenzbasierte Kritik am Gewichtszentrismen: Diese Herangehensweise ignoriert genetische und soziale Determinanten, schafft Scham und Vermeidungsverhalten bei Kindern, verschlechtert emotionales Wohlbefinden. Empfehlung: Gewichtsmessungen nur begründet, mit Einwilligung, ohne Kommentare zur Entwicklung; Fokus statt auf Lebensbedingungen (Lebensmittelumgebung, Aktivitätszugang, Mittagsverpflegung, finanzielle Barrieren).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Spanien/Katalonien, europäisches Gesundheitssystem mit vergleichbaren pädiatrischen Strukturen</w:t>
      </w:r>
    </w:p>
    <w:p>
      <w:r>
        <w:rPr>
          <w:color w:val="5A7D3A"/>
          <w:sz w:val="18"/>
        </w:rPr>
        <w:t>https://pubmed.ncbi.nlm.nih.gov/42752590/</w:t>
      </w:r>
    </w:p>
    <w:p>
      <w:pPr>
        <w:pStyle w:val="Heading2"/>
      </w:pPr>
      <w:r>
        <w:t>GLP-1-Rezeptoragonisten senken Nierencompliance-Risiko unterschiedlich nach Prognose</w:t>
      </w:r>
    </w:p>
    <w:p>
      <w:r>
        <w:rPr>
          <w:i/>
          <w:color w:val="666666"/>
          <w:sz w:val="18"/>
        </w:rPr>
        <w:t>Xu Y et al.  ·  Kidney Int  ·  24.07.2026  ·  PMID 42498061</w:t>
      </w:r>
    </w:p>
    <w:p>
      <w:r>
        <w:t>Heterogenitätsanalyse an 28.747 Diabetespatienten in Stockholm zur Frage, welche Patienten von GLP-1-Agonisten bei der Nierenprotektion profitieren – im Unterschied zu durchschnittlichen Zulassungsstudien.</w:t>
      </w:r>
    </w:p>
    <w:p>
      <w:r>
        <w:rPr>
          <w:b/>
        </w:rPr>
        <w:t xml:space="preserve">Ergebnis: </w:t>
      </w:r>
      <w:r>
        <w:t>GLP-1RA senkte Fünf-Jahres-Nierenenergierisiko durchschnittlich um 0,72 % absolut (HR 0,84, 95%-KI 0,72–0,97); Effekt war aber hochgradig heterogen: Patienten in höchstem Quartil des KFRE-Risikos erlebten 2,76 % absoluten Risikoreduktion (HR 0,70), während die niedrigsten Risikogruppen keinen Nutzen zeigten. Prädiktoren für Vorteil: niedriges eGFR, schneller vorheriger eGFR-Abfall, Albuminurie, höheres HbA1c.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Versicherungssystem, aber Kostenübernahme GLP-1 dort anderes als Deutschland</w:t>
      </w:r>
    </w:p>
    <w:p>
      <w:r>
        <w:rPr>
          <w:color w:val="5A7D3A"/>
          <w:sz w:val="18"/>
        </w:rPr>
        <w:t>https://pubmed.ncbi.nlm.nih.gov/42498061/</w:t>
      </w:r>
    </w:p>
    <w:p>
      <w:pPr>
        <w:pStyle w:val="Heading2"/>
      </w:pPr>
      <w:r>
        <w:t>Metabolisches Syndrom erhöht Magenkrebsrisiko progressiv – Bauchumfang ist stärkster Komponenten-Marker</w:t>
      </w:r>
    </w:p>
    <w:p>
      <w:r>
        <w:rPr>
          <w:i/>
          <w:color w:val="666666"/>
          <w:sz w:val="18"/>
        </w:rPr>
        <w:t>Wang GQ et al.  ·  Cancer Res Commun  ·  01.08.2026  ·  PMID 42490138</w:t>
      </w:r>
    </w:p>
    <w:p>
      <w:r>
        <w:t>Prospektive Kohortenanalyse von 471.540 UK-Biobank-Teilnehmern zum Zusammenhang zwischen MetS und inzidentem Magenkrebs über 6,5 Jahre mit Subgruppenanalysen nach Sublokalisation.</w:t>
      </w:r>
    </w:p>
    <w:p>
      <w:r>
        <w:rPr>
          <w:b/>
        </w:rPr>
        <w:t xml:space="preserve">Ergebnis: </w:t>
      </w:r>
      <w:r>
        <w:t>Metabolisches Syndrom war mit erhöhtem Magenkrebsrisiko assoziiert (HR 1,36, 95%-KI 1,08–1,71). Risiko stieg mit Anzahl der MetS-Komponenten (p für Trend = 0,033). Für kardiales Magenkarzinom stärker (HR 1,48, 95%-KI 1,03–2,11) als für nicht-kardiales (HR 1,28, 95%-KI 0,95–1,73, Heterogenität p = 0,547). Bauchumfang zeigte konsistentest Komponenten-Signal. 332 Fälle über 6,5 Jahre in großer prospektiver Kohorte.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aber Befund zur metabolischen Dysfunktion unabhängig von System übertragbar</w:t>
      </w:r>
    </w:p>
    <w:p>
      <w:r>
        <w:rPr>
          <w:color w:val="5A7D3A"/>
          <w:sz w:val="18"/>
        </w:rPr>
        <w:t>https://pubmed.ncbi.nlm.nih.gov/42490138/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2026-09-20T06:00:00Z</dcterms:created>
  <dcterms:modified xsi:type="dcterms:W3CDTF">2026-09-20T06:00:00Z</dcterms:modified>
  <cp:category/>
</cp:coreProperties>
</file>