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04.09.2026  |  72 Studien  |  adipositas.m-vf.de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Fragmentation in Adipositas-Versorgung behindert Behandlungserfolg in Sri Lanka</w:t>
      </w:r>
    </w:p>
    <w:p>
      <w:r>
        <w:rPr>
          <w:i/>
          <w:color w:val="666666"/>
          <w:sz w:val="18"/>
        </w:rPr>
        <w:t>Gamage GP et al.  ·  BMJ Open  ·  03.09.2026  ·  PMID 42692514</w:t>
      </w:r>
    </w:p>
    <w:p>
      <w:r>
        <w:t>Qualitative Studie mit 8 Versorgungspraktikern in Colombo (Diätassistenten, Ärzte, Verhaltensfachleute): semi-strukturierte Interviews zur Ausgestaltung von Gewichtsmanagement für junge Erwachsene (18–35 Jahre) mit Adipositas.</w:t>
      </w:r>
    </w:p>
    <w:p>
      <w:r>
        <w:rPr>
          <w:b/>
        </w:rPr>
        <w:t xml:space="preserve">Ergebnis: </w:t>
      </w:r>
      <w:r>
        <w:t>Zwei Kernthemen: (1) Barrieren – begrenzte Kompetenz und Selbstsicherheit der Praktiker, fragmentierte Versorgung, Motivations- und Adhärenzprobleme von Patienten, kulturelle/religiöse Mythen; (2) Strategien – frühzeitige Erkennung mit klarem Überweisungssystem, individualisierte interdisziplinäre Versorgung, kontinuierliche Nachsorge und Selbstmonitoring, unterstützendes soziales Umfeld. Koordination der Versorgung ist Schlüsselfaktor.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aber Erkenntnis zur Fragmentierung gilt auch für Deutschland</w:t>
      </w:r>
    </w:p>
    <w:p>
      <w:r>
        <w:rPr>
          <w:color w:val="5A7D3A"/>
          <w:sz w:val="18"/>
        </w:rPr>
        <w:t>https://pubmed.ncbi.nlm.nih.gov/42692514/</w:t>
      </w:r>
    </w:p>
    <w:p>
      <w:pPr>
        <w:pStyle w:val="Heading2"/>
      </w:pPr>
      <w:r>
        <w:t>Liposuktion bei Lipoödem in Deutschland: Superioriät zur konservativen Therapie</w:t>
      </w:r>
    </w:p>
    <w:p>
      <w:r>
        <w:rPr>
          <w:i/>
          <w:color w:val="666666"/>
          <w:sz w:val="18"/>
        </w:rPr>
        <w:t>Podda M et al.  ·  Lancet  ·  05.09.2026  ·  PMID 42692034</w:t>
      </w:r>
    </w:p>
    <w:p>
      <w:r>
        <w:t>Randomisierte deutsche Multicenter-Studie an 410 Patienten mit Lipoödem, die Liposuktion mit konservativer Kompressionstherapie über 12 Monate verglichen.</w:t>
      </w:r>
    </w:p>
    <w:p>
      <w:r>
        <w:rPr>
          <w:b/>
        </w:rPr>
        <w:t xml:space="preserve">Ergebnis: </w:t>
      </w:r>
      <w:r>
        <w:t>68 % der Liposuktion-Patienten erreichten Schmerzreduktion ≥2 Punkte vs. 8 % unter Therapie (OR 26,2; 95%-KI 13,1–52,5; p&lt;0,0001). Ernsthafte unerwünschte Ereignisse traten in 8 % der Liposuktion-Gruppe auf vs. 3 % unter konservativer Therapie. Sekundäre Outcomes zur Lebensqualität waren in der Liposuktion-Gruppe signifikant besser.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 und Erstattungslogik</w:t>
      </w:r>
    </w:p>
    <w:p>
      <w:r>
        <w:rPr>
          <w:color w:val="5A7D3A"/>
          <w:sz w:val="18"/>
        </w:rPr>
        <w:t>https://pubmed.ncbi.nlm.nih.gov/42692034/</w:t>
      </w:r>
    </w:p>
    <w:p>
      <w:pPr>
        <w:pStyle w:val="Heading2"/>
      </w:pPr>
      <w:r>
        <w:t>Adipositas-Prävention bei Kindern: Strategie scheitert bei Benachteiligten</w:t>
      </w:r>
    </w:p>
    <w:p>
      <w:r>
        <w:rPr>
          <w:i/>
          <w:color w:val="666666"/>
          <w:sz w:val="18"/>
        </w:rPr>
        <w:t>Royo-Bordonada MÁ et al.  ·  Rev Esp Salud Publica  ·  01.09.2026  ·  PMID 42690119</w:t>
      </w:r>
    </w:p>
    <w:p>
      <w:r>
        <w:t>Analyse spanischer Adipositasepidemie: 34,1 % der 3–24-Jährigen mit Übergewicht, 10,3 % mit Adipositas; zwischen 2006 und 2016 stieg Adipositas-Prävalenz aber nur in sozial benachteiligten Gebieten.</w:t>
      </w:r>
    </w:p>
    <w:p>
      <w:r>
        <w:rPr>
          <w:b/>
        </w:rPr>
        <w:t xml:space="preserve">Ergebnis: </w:t>
      </w:r>
      <w:r>
        <w:t>Zwischen 2019 und 2023 sanken Übergewicht und Adipositas bei 6–9-Jährigen um 3,1 bzw. 1,4 Prozentpunkte, blieben aber in Familien mit niedrigem Einkommen stabil. Das Adipositas-Ratio (Unterschicht vs. Oberschicht) verschärfte sich von 1,59 auf 2,03. Die NAOS-Strategie verfehlte damit ihre Zielgruppe.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Versicherungssysteme und Präventionsaufträge</w:t>
      </w:r>
    </w:p>
    <w:p>
      <w:r>
        <w:rPr>
          <w:color w:val="5A7D3A"/>
          <w:sz w:val="18"/>
        </w:rPr>
        <w:t>https://pubmed.ncbi.nlm.nih.gov/42690119/</w:t>
      </w:r>
    </w:p>
    <w:p>
      <w:pPr>
        <w:pStyle w:val="Heading2"/>
      </w:pPr>
      <w:r>
        <w:t>Frühe Gewichtszunahme im Kindesalter schädigt Nierenfunktion dauerhaft</w:t>
      </w:r>
    </w:p>
    <w:p>
      <w:r>
        <w:rPr>
          <w:i/>
          <w:color w:val="666666"/>
          <w:sz w:val="18"/>
        </w:rPr>
        <w:t>Dias M et al.  ·  J Bras Nefrol  ·  Okt. 2026  ·  PMID 42684143</w:t>
      </w:r>
    </w:p>
    <w:p>
      <w:r>
        <w:t>Longitudinale portugiesische Kohortenstudie mit 1004 Kindern (7–9 Jahre), die Gewichtsverlaufsmuster von Geburt bis 6 Jahre mit geschätzter glomerulärer Filtrationsrate korrelierte.</w:t>
      </w:r>
    </w:p>
    <w:p>
      <w:r>
        <w:rPr>
          <w:b/>
        </w:rPr>
        <w:t xml:space="preserve">Ergebnis: </w:t>
      </w:r>
      <w:r>
        <w:t>Kinder mit persistenter oder im Schulalter beginnender beschleunigter Gewichtszunahme (Trajektorie II und III) wiesen signifikant niedrigere eGFR auf (2,68–3,75 mL/min/1,73 m² niedriger als Referenzgruppe in multivariaten Modellen; p nicht durchgehend angegeben, aber CYSTIN-Messung zeigt Effekt). Frühe metabolische Prägung bestimmt spätere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Public Health-Kontext ähnlich Süddeutschland</w:t>
      </w:r>
    </w:p>
    <w:p>
      <w:r>
        <w:rPr>
          <w:color w:val="5A7D3A"/>
          <w:sz w:val="18"/>
        </w:rPr>
        <w:t>https://pubmed.ncbi.nlm.nih.gov/42684143/</w:t>
      </w:r>
    </w:p>
    <w:p>
      <w:pPr>
        <w:pStyle w:val="Heading2"/>
      </w:pPr>
      <w:r>
        <w:t>Mütterliches Übergewicht in der Schwangerschaft erhöht kardiovaskuläres Risiko der Kinder langfristig</w:t>
      </w:r>
    </w:p>
    <w:p>
      <w:r>
        <w:rPr>
          <w:i/>
          <w:color w:val="666666"/>
          <w:sz w:val="18"/>
        </w:rPr>
        <w:t>Wang H et al.  ·  JAMA Netw Open  ·  01.09.2026  ·  PMID 42678700</w:t>
      </w:r>
    </w:p>
    <w:p>
      <w:r>
        <w:t>Schwedische Populationskohorte mit 2,5 Mio. ab 1982 Geborenen, Nachverfolgung bis 2023: Assoziation mütterlicher BMI und Gestationsgewichtszunahme mit kardiovaskulären Ereignissen im Nachwuchs (median 22 Jahre Follow-up).</w:t>
      </w:r>
    </w:p>
    <w:p>
      <w:r>
        <w:rPr>
          <w:b/>
        </w:rPr>
        <w:t xml:space="preserve">Ergebnis: </w:t>
      </w:r>
      <w:r>
        <w:t>22.510 Fälle von kardiovaskulären Erkrankungen (0,9 %). Verglichen mit normalgewichtigen Müttern: Übergewicht der Mutter HR 1,29, Adipositas Klasse 1 HR 1,66, Klasse 2 HR 2,16, Klasse 3 HR 2,74. Höhere Gestationsgewichtszunahme (z-Score ≥1) bei normalgewichtigen Müttern: HR 1,16. Sibling-Analysen zeigten teilweise Attenuierung, aber Assoziationen blieben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Geburtshilfe und Kinder-Nachverfolgung</w:t>
      </w:r>
    </w:p>
    <w:p>
      <w:r>
        <w:rPr>
          <w:color w:val="5A7D3A"/>
          <w:sz w:val="18"/>
        </w:rPr>
        <w:t>https://pubmed.ncbi.nlm.nih.gov/42678700/</w:t>
      </w:r>
    </w:p>
    <w:p>
      <w:pPr>
        <w:pStyle w:val="Heading2"/>
      </w:pPr>
      <w:r>
        <w:t>Strukturierte Lebensstiländerung verbessert Body-Komposition unabhängig vom Gewichtsverlust</w:t>
      </w:r>
    </w:p>
    <w:p>
      <w:r>
        <w:rPr>
          <w:i/>
          <w:color w:val="666666"/>
          <w:sz w:val="18"/>
        </w:rPr>
        <w:t>Rúnarsdóttir TR et al.  ·  Mol Nutr Food Res  ·  Aug. 2026  ·  PMID 42522290</w:t>
      </w:r>
    </w:p>
    <w:p>
      <w:r>
        <w:t>Randomisierte isländische Doppelblind-Studie mit 33 Frauen mit Adipositas (BMI 30,0–54,1 kg/m²): 12-Wochen-Programm mit Chitosan oder Placebo plus strukturierte Lebensstiländerung (Ernährung, Bewegung); DXA-Analysen der Body-Komposition.</w:t>
      </w:r>
    </w:p>
    <w:p>
      <w:r>
        <w:rPr>
          <w:b/>
        </w:rPr>
        <w:t xml:space="preserve">Ergebnis: </w:t>
      </w:r>
      <w:r>
        <w:t>Strukturierte Lifestyle-Interventionen erhöhten Muskelmasse, Handgriffstärke, Ausdauer und Selbstbewertung der Gesundheit über alle BMI-Gruppen hinweg, während Körperfettmasse und mittlerer arterieller Blutdruck sanken – unabhängig von Gewichtsverlust. Chitosan-Supplementation war mit Reduktion des Firmicutes/Bacteroidota-Verhältnisses assoziiert. Interpretierbarkeit durch kleine Stichprobe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ähnliche Fachkompetenz in klinischer Ernährung</w:t>
      </w:r>
    </w:p>
    <w:p>
      <w:r>
        <w:rPr>
          <w:color w:val="5A7D3A"/>
          <w:sz w:val="18"/>
        </w:rPr>
        <w:t>https://pubmed.ncbi.nlm.nih.gov/42522290/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Leberablagerungen in der Kindheit vorhersagen kardiovaskuläres Risiko im jungen Erwachsenenalter</w:t>
      </w:r>
    </w:p>
    <w:p>
      <w:r>
        <w:rPr>
          <w:i/>
          <w:color w:val="666666"/>
          <w:sz w:val="18"/>
        </w:rPr>
        <w:t>Stroes AR et al.  ·  Pediatr Obes  ·  Sept. 2026  ·  PMID 42683934</w:t>
      </w:r>
    </w:p>
    <w:p>
      <w:r>
        <w:t>10-Jahres-Kohortenstudie zu Hepatic steatosis und Carotis-Intima-Media-Dicke (cIMT) bei Kindern mit schwerer Adipositas und deren 10-Jahres-Verfolgung.</w:t>
      </w:r>
    </w:p>
    <w:p>
      <w:r>
        <w:rPr>
          <w:b/>
        </w:rPr>
        <w:t xml:space="preserve">Ergebnis: </w:t>
      </w:r>
      <w:r>
        <w:t>46% der Kinder hatten Steatose, 46% auch als Erwachsene. Steatose im jungen Erwachsenenalter war unabhängig mit erhöhter cIMT assoziiert (Mittelwertdifferenz 0,035 mm, p=0,008). Kindliche Steatose sagte cIMT-Progression voraus. Persistente oder neu auftretende Steatose kennzeichnet höheres Herz-Kreislauf-Risiko.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Versorgungskontinuität etabliert</w:t>
      </w:r>
    </w:p>
    <w:p>
      <w:r>
        <w:rPr>
          <w:color w:val="5A7D3A"/>
          <w:sz w:val="18"/>
        </w:rPr>
        <w:t>https://pubmed.ncbi.nlm.nih.gov/42683934/</w:t>
      </w:r>
    </w:p>
    <w:p>
      <w:pPr>
        <w:pStyle w:val="Heading2"/>
      </w:pPr>
      <w:r>
        <w:t>Bauchlagerung bei schwerem Übergewicht mit ARDS machbar und sicher</w:t>
      </w:r>
    </w:p>
    <w:p>
      <w:r>
        <w:rPr>
          <w:i/>
          <w:color w:val="666666"/>
          <w:sz w:val="18"/>
        </w:rPr>
        <w:t>Lee C et al.  ·  Am J Crit Care  ·  01.09.2026  ·  PMID 42676144</w:t>
      </w:r>
    </w:p>
    <w:p>
      <w:r>
        <w:t>Retrospektive Kohortenstudie von 1.448 ARDS-Patienten mit unterschiedlichen Adipositas-Graden; Feasibility und Sicherheit von manueller Bauchlagerung.</w:t>
      </w:r>
    </w:p>
    <w:p>
      <w:r>
        <w:rPr>
          <w:b/>
        </w:rPr>
        <w:t xml:space="preserve">Ergebnis: </w:t>
      </w:r>
      <w:r>
        <w:t>Bauchlagerung war machbar und sicher über alle Adipositas-Klassen. Patienten mit Adipositas Grad III zeigten größte Verbesserungen in Gasaustausch (37% PaO2/FiO2-Anstieg vs. 28% bei Normalgewicht, p&lt;0,05). Komplikationsraten niedrig in allen Gruppen. ICU- und Krankenhausverweildauer verkürzt.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Sicherheitseffekt ist gewichtssystemunabhängig übertragbar</w:t>
      </w:r>
    </w:p>
    <w:p>
      <w:r>
        <w:rPr>
          <w:color w:val="5A7D3A"/>
          <w:sz w:val="18"/>
        </w:rPr>
        <w:t>https://pubmed.ncbi.nlm.nih.gov/42676144/</w:t>
      </w:r>
    </w:p>
    <w:p>
      <w:pPr>
        <w:pStyle w:val="Heading2"/>
      </w:pPr>
      <w:r>
        <w:t>Kardiovaskulär-renales-metabolisches Syndrom erhöht Pankreaskrebsrisiko dosisabhängig</w:t>
      </w:r>
    </w:p>
    <w:p>
      <w:r>
        <w:rPr>
          <w:i/>
          <w:color w:val="666666"/>
          <w:sz w:val="18"/>
        </w:rPr>
        <w:t>Choi M et al.  ·  Diabetes Metab Res Rev  ·  Sept. 2026  ·  PMID 42549759</w:t>
      </w:r>
    </w:p>
    <w:p>
      <w:r>
        <w:t>Prospektive Kohorte mit 326.148 UK-Biobank-Teilnehmern; 1.234 Pankreaskrebsfälle über 13,5 Jahre Follow-up zur Assoziation zwischen CKM-Stadien und Pankreaskrebsinzidenz.</w:t>
      </w:r>
    </w:p>
    <w:p>
      <w:r>
        <w:rPr>
          <w:b/>
        </w:rPr>
        <w:t xml:space="preserve">Ergebnis: </w:t>
      </w:r>
      <w:r>
        <w:t>Pankreaskrebsinzidenz stieg von 9,0 (Stadium 0) auf 48,6 pro 100.000 Personenjahre (Stadium 4). Adjustierte SHR für Stadium 1-2: 1,97-2,02; Stadium 3-4: 2,08 (p&lt;0,001). Assoziation bestand über Alters-, Geschlechts- und Raucherstatus hinweg. Metabolischer Funktionsverlust als Risikostratifizierer.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generalisierbar auf europäische Settings mit ähnlicher Risikoprofilierung</w:t>
      </w:r>
    </w:p>
    <w:p>
      <w:r>
        <w:rPr>
          <w:color w:val="5A7D3A"/>
          <w:sz w:val="18"/>
        </w:rPr>
        <w:t>https://pubmed.ncbi.nlm.nih.gov/42549759/</w:t>
      </w:r>
    </w:p>
    <w:p>
      <w:pPr>
        <w:pStyle w:val="Heading2"/>
      </w:pPr>
      <w:r>
        <w:t>Niedriges Bildungsniveau erhöht Adipositas-Risiko um 61% trotz Lifestyle-Anpassung</w:t>
      </w:r>
    </w:p>
    <w:p>
      <w:r>
        <w:rPr>
          <w:i/>
          <w:color w:val="666666"/>
          <w:sz w:val="18"/>
        </w:rPr>
        <w:t>Vicente-Herrero MT et al.  ·  Med Sci (Basel)  ·  27.06.2026  ·  PMID 42506320</w:t>
      </w:r>
    </w:p>
    <w:p>
      <w:r>
        <w:t>Querschnittsstudie von 3.108 berufstätigen Erwachsenen in Spanien zu Assoziation zwischen Bildungsstand und Adipositas und Attenuation durch Lifestyle-Faktoren.</w:t>
      </w:r>
    </w:p>
    <w:p>
      <w:r>
        <w:rPr>
          <w:b/>
        </w:rPr>
        <w:t xml:space="preserve">Ergebnis: </w:t>
      </w:r>
      <w:r>
        <w:t>Adipositas-Prävalenz: 11,5% (höhere Bildung) vs. 19,8% (Grund-/keine Bildung). Rohes OR 1,89 (95% CI 1,46-2,45). Nach Adjust für Alter/Geschlecht OR 1,72; nach Hinzunahme von Rauchen, körperlicher Aktivität (IPAQ) und Mittelmeer-Diät (MEDAS-14) OR 1,63. Vollständig adjustiert OR 1,61 (95% CI 1,18-2,21) – statistisch signifikant, aber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Versicherungssystem, Sozialgradienten vergleichbar</w:t>
      </w:r>
    </w:p>
    <w:p>
      <w:r>
        <w:rPr>
          <w:color w:val="5A7D3A"/>
          <w:sz w:val="18"/>
        </w:rPr>
        <w:t>https://pubmed.ncbi.nlm.nih.gov/42506320/</w:t>
      </w:r>
    </w:p>
    <w:p>
      <w:pPr>
        <w:pStyle w:val="Heading2"/>
      </w:pPr>
      <w:r>
        <w:t>Primärärzte sehen GLP-1-Mittel als Diskussionsstarter, berichten aber über Unsicherheiten</w:t>
      </w:r>
    </w:p>
    <w:p>
      <w:r>
        <w:rPr>
          <w:i/>
          <w:color w:val="666666"/>
          <w:sz w:val="18"/>
        </w:rPr>
        <w:t>Hellgren J et al.  ·  Scand J Prim Health Care  ·  17.07.2026  ·  PMID 42464703</w:t>
      </w:r>
    </w:p>
    <w:p>
      <w:r>
        <w:t>Qualitative Studie mit 11 Fachinterviews bei Hausärzten in Schweden zu Erfahrungen und Haltungen zu Anti-Adiposita-Medikamenten im klinischen Alltag.</w:t>
      </w:r>
    </w:p>
    <w:p>
      <w:r>
        <w:rPr>
          <w:b/>
        </w:rPr>
        <w:t xml:space="preserve">Ergebnis: </w:t>
      </w:r>
      <w:r>
        <w:t>Ärzte berichten, dass GLP-1-Medikamente personenzentrierte Gespräche über Gewichtsmanagement erleichtern, nennen aber Herausforderungen durch begrenzte klinische Erfahrung, unkare Behandlungsdauer und fehlende Richtlinien. Hauptthema: Verschiebung klinischer Verantwortung bei komplexer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ähnliche Aufbaustruktur der Primärversorgung</w:t>
      </w:r>
    </w:p>
    <w:p>
      <w:r>
        <w:rPr>
          <w:color w:val="5A7D3A"/>
          <w:sz w:val="18"/>
        </w:rPr>
        <w:t>https://pubmed.ncbi.nlm.nih.gov/42464703/</w:t>
      </w:r>
    </w:p>
    <w:p>
      <w:pPr>
        <w:pStyle w:val="Heading2"/>
      </w:pPr>
      <w:r>
        <w:t>Gewichtsverlust vor psychotischer Episode prognostiziert doppelte Gewichtszunahme</w:t>
      </w:r>
    </w:p>
    <w:p>
      <w:r>
        <w:rPr>
          <w:i/>
          <w:color w:val="666666"/>
          <w:sz w:val="18"/>
        </w:rPr>
        <w:t>O'Mahony B et al.  ·  BMJ Ment Health  ·  16.07.2026  ·  PMID 42463299</w:t>
      </w:r>
    </w:p>
    <w:p>
      <w:r>
        <w:t>Retrospektive Kohortenstudie von 369 Patienten mit First-Episode Psychosis (FEP) aus UK CPRD zu Gewichtsverlauf vor und nach Diagnose.</w:t>
      </w:r>
    </w:p>
    <w:p>
      <w:r>
        <w:rPr>
          <w:b/>
        </w:rPr>
        <w:t xml:space="preserve">Ergebnis: </w:t>
      </w:r>
      <w:r>
        <w:t>53% verloren vor FEP-Diagnose an Gewicht. Mit vorigem Gewichtsverlust verdoppelte sich die post-Diagnose-Zunahme (8,93% vs. 4,07% jährlich; p=0,005). Je 1% Prä-Verlust sagte 0,41% zusätzliche Jahresgewichtszunahme voraus (p=0,004). Durchschnittliche Gewinne überstiegen Vorgängig-Verluste nach 1 Jahr (6,49 kg vs. 4,83 kg).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UK-Primärversorgungsdaten, deutsches System vergleichbar bei Dokumentation</w:t>
      </w:r>
    </w:p>
    <w:p>
      <w:r>
        <w:rPr>
          <w:color w:val="5A7D3A"/>
          <w:sz w:val="18"/>
        </w:rPr>
        <w:t>https://pubmed.ncbi.nlm.nih.gov/42463299/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2026-09-04T06:00:00Z</dcterms:created>
  <dcterms:modified xsi:type="dcterms:W3CDTF">2026-09-04T06:00:00Z</dcterms:modified>
  <cp:category/>
</cp:coreProperties>
</file>