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25.09.2026  |  6 Studien  |  adipositas.m-vf.de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Adipositas in Mexiko: Strukturelle Treiber und Grenzen gesundheitspolitischer Reformen</w:t>
      </w:r>
    </w:p>
    <w:p>
      <w:r>
        <w:rPr>
          <w:i/>
          <w:color w:val="666666"/>
          <w:sz w:val="18"/>
        </w:rPr>
        <w:t>Browner CH et al.  ·  Glob Public Health  ·  31.12.2026  ·  PMID 42784752</w:t>
      </w:r>
    </w:p>
    <w:p>
      <w:r>
        <w:t>Qualitative Analyse der Adipositas-Epidemiologie in Mexiko und ihrer Verbindung zu Folgeerkrankungen; kritische Bewertung der Healthy Republic Plan der Präsidentin Claudia Sheinbaum als politisches Reformrahmenwerk.</w:t>
      </w:r>
    </w:p>
    <w:p>
      <w:r>
        <w:rPr>
          <w:b/>
        </w:rPr>
        <w:t xml:space="preserve">Ergebnis: </w:t>
      </w:r>
      <w:r>
        <w:t>Mexiko hat eine der höchsten Adipositas-Prävalenzen weltweit (&gt;1/3 der Kinder und Jugendlichen betroffen). Die Studie identifiziert soziohistorische, politisch-ökonomische und kulturelle Faktoren als Treiber und zeigt die Grenzen sektoraler Gesundheitspolitik ohne Strukturveränderung im Lebensmittel-Umfeld und in der Arbeitsökonomie auf. Der Plan adressiert Symptome, nicht zugrundeliegende strukturelle Determinanten.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 – Kontext grundlegend anders; relevanter Befund: Versorgungsreformen ohne Verhältnisprävention wirken begrenzt</w:t>
      </w:r>
    </w:p>
    <w:p>
      <w:r>
        <w:rPr>
          <w:color w:val="5A7D3A"/>
          <w:sz w:val="18"/>
        </w:rPr>
        <w:t>https://pubmed.ncbi.nlm.nih.gov/42784752/</w:t>
      </w:r>
    </w:p>
    <w:p>
      <w:pPr>
        <w:pStyle w:val="Heading2"/>
      </w:pPr>
      <w:r>
        <w:t>Adipositas und Cybermobbing bei Grundschülern: Deutlich erhöhtes Risiko online</w:t>
      </w:r>
    </w:p>
    <w:p>
      <w:r>
        <w:rPr>
          <w:i/>
          <w:color w:val="666666"/>
          <w:sz w:val="18"/>
        </w:rPr>
        <w:t>Büyükşahin Y et al.  ·  Front Public Health  ·  09.09.2026  ·  PMID 42780642</w:t>
      </w:r>
    </w:p>
    <w:p>
      <w:r>
        <w:t>Türkische Querschnittsstudie an 579 Grundschülern (Klassen 1–4) zur Vorhersage von Mobbingerfahrungen durch BMI-Kategorien; logistische Regression und Korrelationsanalysen.</w:t>
      </w:r>
    </w:p>
    <w:p>
      <w:r>
        <w:rPr>
          <w:b/>
        </w:rPr>
        <w:t xml:space="preserve">Ergebnis: </w:t>
      </w:r>
      <w:r>
        <w:t>Übergewicht/Adipositas versus Normalgewicht: Cybermobbing-Risiko 1,83-fach erhöht (OR 1,83, 95%-KI 1,008–3,328, p = 0,047; Permutationstest p = 0,032). Nach Adjustierung für Geschlecht und Klasse Assoziation grenzwertig signifikant (OR 1,77, p = 0,064). Korrelation BMI mit Cybermobbing ρ = 0,092, p = 0,027. Kein signifikanter Unterschied für physisches oder soziales Mobbing.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Europäisches, nicht deutsches System; Stigma und Zugang sind universell, aber schulische Interventionen unterscheiden sich</w:t>
      </w:r>
    </w:p>
    <w:p>
      <w:r>
        <w:rPr>
          <w:color w:val="5A7D3A"/>
          <w:sz w:val="18"/>
        </w:rPr>
        <w:t>https://pubmed.ncbi.nlm.nih.gov/42780642/</w:t>
      </w:r>
    </w:p>
    <w:p>
      <w:pPr>
        <w:pStyle w:val="Heading2"/>
      </w:pPr>
      <w:r>
        <w:t>Stuhltransplantation bei adipösen Jugendlichen: Begrenzte Wirkung und Spenderabhängigkeit</w:t>
      </w:r>
    </w:p>
    <w:p>
      <w:r>
        <w:rPr>
          <w:i/>
          <w:color w:val="666666"/>
          <w:sz w:val="18"/>
        </w:rPr>
        <w:t>Jiang X et al.  ·  Front Endocrinol (Lausanne)  ·  09.09.2026  ·  PMID 42780516</w:t>
      </w:r>
    </w:p>
    <w:p>
      <w:r>
        <w:t>Längzeitkohorte über 182 Tage an adipösen Jugendlichen (378 Proben), die Stuhltransplantation (FMT) erhielten; metagenomische Sequenzierung zur Messung der Ökosystemveränderung.</w:t>
      </w:r>
    </w:p>
    <w:p>
      <w:r>
        <w:rPr>
          <w:b/>
        </w:rPr>
        <w:t xml:space="preserve">Ergebnis: </w:t>
      </w:r>
      <w:r>
        <w:t>FMT führte nur zu transienten Verschiebungen der Gemeinschaftsstruktur. Begrenzte Spenderstamm-Besiedlung, starke Resilienz der Empfänger-Kerntaxa. Bakterien primäre Responder, Viren kurzfristig gestört, Netzwerk-Wiederherstellung partiell und spenderabhängig. Keine anhaltenden ökologischen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hypothesengenerierende Studie; Übertragbarkeit auf deutsche Versorgung unklar, derzeit keine breite Kostenübernahme</w:t>
      </w:r>
    </w:p>
    <w:p>
      <w:r>
        <w:rPr>
          <w:color w:val="5A7D3A"/>
          <w:sz w:val="18"/>
        </w:rPr>
        <w:t>https://pubmed.ncbi.nlm.nih.gov/42780516/</w:t>
      </w:r>
    </w:p>
    <w:p>
      <w:pPr>
        <w:pStyle w:val="Heading2"/>
      </w:pPr>
      <w:r>
        <w:t>Arbeitsplatzunterstützung für Stillende vermindert Adipositas-Risiko nach früher Rückkehr zur Arbeit</w:t>
      </w:r>
    </w:p>
    <w:p>
      <w:r>
        <w:rPr>
          <w:i/>
          <w:color w:val="666666"/>
          <w:sz w:val="18"/>
        </w:rPr>
        <w:t>Liu H  ·  Front Public Health  ·  09.09.2026  ·  PMID 42780412</w:t>
      </w:r>
    </w:p>
    <w:p>
      <w:r>
        <w:t>Chinesische Querschnittstudie mit 1633 Mutter-Kind-Paaren zur Assoziation von Rückkehrzeitpunkt zur Arbeit, Stillverhalten und Arbeitsplatzunterstützung mit Übergewicht/Adipositas bei Kindern 3–6 Jahren.</w:t>
      </w:r>
    </w:p>
    <w:p>
      <w:r>
        <w:rPr>
          <w:b/>
        </w:rPr>
        <w:t xml:space="preserve">Ergebnis: </w:t>
      </w:r>
      <w:r>
        <w:t>Insgesamt 458 Kinder (28,0 %) übergewichtig oder adipös. Rückkehr zu 6–15 Wochen postpartum: erhöhte Chancen (OR 1,85, 95%-KI 1,36–2,50). Rückkehr zu ≥16 Wochen: nicht signifikant (OR 1,06). Exklusives Stillen ≥6 Monate: OR 0,41 (95%-KI 0,26–0,63), Stillen 6–11 Monate: OR 0,61 (95%-KI 0,42–0,88). In explorativer Schichtanalyse: Rückkehr vor 16 Wochen assoziiert bei niedriger Arbeitsplatzunterstützung (OR 3,84, 95%-KI 2,25–6,56), nicht bei hoher (OR 1,08, p-Interaktion 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System nicht direkt übertragbar, aber Mechanismus (Stillen und Beruf) relevant für deutsche Elternzeitpolitik</w:t>
      </w:r>
    </w:p>
    <w:p>
      <w:r>
        <w:rPr>
          <w:color w:val="5A7D3A"/>
          <w:sz w:val="18"/>
        </w:rPr>
        <w:t>https://pubmed.ncbi.nlm.nih.gov/42780412/</w:t>
      </w:r>
    </w:p>
    <w:p>
      <w:pPr>
        <w:pStyle w:val="Heading2"/>
      </w:pPr>
      <w:r>
        <w:t>Metabolische Nebenwirkungen von Antipsychotika bei Kindern: Geschlechtsspezifische Risiken in Schweden</w:t>
      </w:r>
    </w:p>
    <w:p>
      <w:r>
        <w:rPr>
          <w:i/>
          <w:color w:val="666666"/>
          <w:sz w:val="18"/>
        </w:rPr>
        <w:t>Kimland EE et al.  ·  Pharmacoepidemiol Drug Saf  ·  Okt. 2026  ·  PMID 42770521</w:t>
      </w:r>
    </w:p>
    <w:p>
      <w:r>
        <w:t>Schwedische Registerstudie zu Adipositas und metabolischen Nebenwirkungen bei 5441 Kindern und Jugendlichen (5–17 Jahre) unter antipsychotischer Erstbehandlung zwischen 2014 und 2021.</w:t>
      </w:r>
    </w:p>
    <w:p>
      <w:r>
        <w:rPr>
          <w:b/>
        </w:rPr>
        <w:t xml:space="preserve">Ergebnis: </w:t>
      </w:r>
      <w:r>
        <w:t>Von 5441 Neunutzern entwickelten 399 (7,3 %) metabolische Nebenwirkungen, davon 69 % Adipositas. Risiko für Mädchen deutlich erhöht: Aripiprazol HR 3,52 (95%-KI 1,58–7,80), Olanzapin HR 6,99 (95%-KI 2,34–20,93), Quetiapin HR 4,87 (95%-KI 1,97–12,04) versus Risperidon. Bei Jungen signifikant erhöht nur für Aripiprazol (HR 2,21, 95%-KI 1,37–3,56). Jüngere Mädchen hatten höhere Risiken.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Gesundheitssystem und Dokumentation wie Deutschland</w:t>
      </w:r>
    </w:p>
    <w:p>
      <w:r>
        <w:rPr>
          <w:color w:val="5A7D3A"/>
          <w:sz w:val="18"/>
        </w:rPr>
        <w:t>https://pubmed.ncbi.nlm.nih.gov/42770521/</w:t>
      </w:r>
    </w:p>
    <w:p>
      <w:pPr>
        <w:pStyle w:val="Heading2"/>
      </w:pPr>
      <w:r>
        <w:t>Oxidiertes HDL und Adipositas: Frühe Marker für kardiovaskuläres Risiko</w:t>
      </w:r>
    </w:p>
    <w:p>
      <w:r>
        <w:rPr>
          <w:i/>
          <w:color w:val="666666"/>
          <w:sz w:val="18"/>
        </w:rPr>
        <w:t>Sasko B et al.  ·  Int J Mol Sci  ·  24.08.2026  ·  PMID 42737473</w:t>
      </w:r>
    </w:p>
    <w:p>
      <w:r>
        <w:t>Deutsche und internationale Kohortenstudie an 1227 Patienten mit Verdacht auf koronare Herzerkrankung zur Assoziation von BMI und oxidiertem HDL (HDLox) als Entzündungsmarker über das Adipositasspektrum.</w:t>
      </w:r>
    </w:p>
    <w:p>
      <w:r>
        <w:rPr>
          <w:b/>
        </w:rPr>
        <w:t xml:space="preserve">Ergebnis: </w:t>
      </w:r>
      <w:r>
        <w:t>HDLox-Spiegel signifikant höher bei Übergewicht und Adipositas versus Normalgewicht (p = 0,002 bzw. p &lt; 0,001). Nicht-linearer Anstieg von Normalgewicht zu Adipositas Klasse I (BMI 30–34,9), dann Plateau. Im Gesamtkollektiv: BMI korreliert schwach aber signifikant mit HDLox (β = 0,064, p = 0,024); im eingeengten BMI-Bereich (15–35) stärker (β = 0,158, p &lt; 0,001). HDL-Oxidation zeigt frühe Dysfunktion unter Gewichtszunahme an.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etablierte HDL-Messverfahren, kardiovaskulärer Risikomarker</w:t>
      </w:r>
    </w:p>
    <w:p>
      <w:r>
        <w:rPr>
          <w:color w:val="5A7D3A"/>
          <w:sz w:val="18"/>
        </w:rPr>
        <w:t>https://pubmed.ncbi.nlm.nih.gov/42737473/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