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Adipositas</w:t>
      </w:r>
    </w:p>
    <w:p>
      <w:r>
        <w:rPr>
          <w:i/>
          <w:color w:val="666666"/>
          <w:sz w:val="18"/>
        </w:rPr>
        <w:t>Stand: 17.10.2026  |  6 Studien  |  adipositas.m-vf.de</w:t>
      </w:r>
    </w:p>
    <w:p>
      <w:pPr>
        <w:pStyle w:val="Heading1"/>
      </w:pPr>
      <w:r>
        <w:t>Aufgenommen am 17.10.2026</w:t>
      </w:r>
    </w:p>
    <w:p>
      <w:pPr>
        <w:pStyle w:val="Heading2"/>
      </w:pPr>
      <w:r>
        <w:t>Körperliche Inaktivität und langes Sitzen erhöhen Sterblichkeitsrisiko bei kardiovaskulär-metabolischem Syndrom deutlich</w:t>
      </w:r>
    </w:p>
    <w:p>
      <w:r>
        <w:rPr>
          <w:i/>
          <w:color w:val="666666"/>
          <w:sz w:val="18"/>
        </w:rPr>
        <w:t>Huang Y et al.  ·  Clin Exp Med  ·  24.07.2026  ·  PMID 42886390</w:t>
      </w:r>
    </w:p>
    <w:p>
      <w:r>
        <w:t>Prospektive Kohortenstudie aus der US-amerikanischen NHANES-Datenbank (2007–2018) mit über 400.000 Teilnehmern; Untersuchung der unabhängigen und kombinierten Assoziationen von Freizeit-Bewegung und Sitzdauer mit Gesamt- und kardiovaskulärer Sterblichkeit bei Personen mit fortgeschrittenem kardiovaskulär-metabolischem Syndrom (CKM).</w:t>
      </w:r>
    </w:p>
    <w:p>
      <w:r>
        <w:rPr>
          <w:b/>
        </w:rPr>
        <w:t xml:space="preserve">Ergebnis: </w:t>
      </w:r>
      <w:r>
        <w:t>Körperliche Inaktivität war mit erhöhtem Risiko für Gesamtsterblichkeit (HR=2,43, 95%-KI: 1,98–2,97) und kardiovaskuläre Sterblichkeit (HR=2,62, 95%-KI: 1,79–3,82) assoziiert. Sitzdauer &gt;8 h/Tag gegenüber &lt;4 h/Tag zeigte erhöhte Risiken (Gesamtsterblichkeit: HR=1,71; kardiovaskulär: HR=2,12). Die höchsten Risiken traten bei Kombination von Inaktivität + ≥6 h/Tag Sitzen auf (Gesamtsterblichkeit: HR=2,77; kardiovaskulär: HR=3,39). Diese Studie unterstreicht den Überlebensvorteil durch gesteigerte körperliche Aktivität und reduzierte Sedentarität in dieser Hochrisikopopulation.</w:t>
      </w:r>
    </w:p>
    <w:p>
      <w:r>
        <w:rPr>
          <w:b/>
          <w:sz w:val="19"/>
        </w:rPr>
        <w:t xml:space="preserve">Übertragbarkeit: </w:t>
      </w:r>
      <w:r>
        <w:rPr>
          <w:sz w:val="19"/>
        </w:rPr>
        <w:t>USA-Daten, Bewegungsförderung als universelle Intervention unabhängig von Finanzierungssystem</w:t>
      </w:r>
    </w:p>
    <w:p>
      <w:r>
        <w:rPr>
          <w:color w:val="5A7D3A"/>
          <w:sz w:val="18"/>
        </w:rPr>
        <w:t>https://pubmed.ncbi.nlm.nih.gov/42886390/</w:t>
      </w:r>
    </w:p>
    <w:p>
      <w:pPr>
        <w:pStyle w:val="Heading2"/>
      </w:pPr>
      <w:r>
        <w:t>Bildschirmzeit begünstigt Adipositas bei Kindern und Jugendlichen mit geschlechtsspezifischen Mechanismen</w:t>
      </w:r>
    </w:p>
    <w:p>
      <w:r>
        <w:rPr>
          <w:i/>
          <w:color w:val="666666"/>
          <w:sz w:val="18"/>
        </w:rPr>
        <w:t>Min J et al.  ·  Prev Chronic Dis  ·  15.10.2026  ·  PMID 42886217</w:t>
      </w:r>
    </w:p>
    <w:p>
      <w:r>
        <w:t>Systematische Überprüfung von 22 Studien zur Assoziation zwischen Bildschirmzeit und Adipositäsergebnissen bei Kindern, Adoleszenten und jungen Erwachsenen; Meta-analytische Synthese mit Fokus auf geschlechtsspezifische Unterschiede in verhaltensabhängigen und physiologischen Pfaden.</w:t>
      </w:r>
    </w:p>
    <w:p>
      <w:r>
        <w:rPr>
          <w:b/>
        </w:rPr>
        <w:t xml:space="preserve">Ergebnis: </w:t>
      </w:r>
      <w:r>
        <w:t>18 der 22 Studien berichteten eine signifikante positive Assoziation zwischen Bildschirmzeit und Adipositas-bezogenen Ergebnissen. Bei Mädchen waren Assoziationen häufiger mit Adipositas, metabolisch ungesund adipös und psychologischen Faktoren (Körperbildsorgen) verknüpft; bei Jungen mit verhaltensbezogenen Faktoren (erhöhte Kalorienaufnahme, nächtliches Bildschirmnutzung, reduzierter Schlaf). Prävention sollte die zugrunde liegenden Mechanismen adressieren: körperliche Aktivität bei Mädchen, Problembewusstsein bei Jungen. Diese Erkenntnisse zeigen, dass simple Bildschirmzeitreduktion nicht ausreicht.</w:t>
      </w:r>
    </w:p>
    <w:p>
      <w:r>
        <w:rPr>
          <w:b/>
          <w:sz w:val="19"/>
        </w:rPr>
        <w:t xml:space="preserve">Übertragbarkeit: </w:t>
      </w:r>
      <w:r>
        <w:rPr>
          <w:sz w:val="19"/>
        </w:rPr>
        <w:t>Internationale Evidenz, universelle Verhältnisprävention, geschlechtsspezifische Anpassung</w:t>
      </w:r>
    </w:p>
    <w:p>
      <w:r>
        <w:rPr>
          <w:color w:val="5A7D3A"/>
          <w:sz w:val="18"/>
        </w:rPr>
        <w:t>https://pubmed.ncbi.nlm.nih.gov/42886217/</w:t>
      </w:r>
    </w:p>
    <w:p>
      <w:pPr>
        <w:pStyle w:val="Heading2"/>
      </w:pPr>
      <w:r>
        <w:t>Schlafstörungen und Übergewicht verknüpft mit sozialen und strukturellen Faktoren bei jungen Erwachsenen</w:t>
      </w:r>
    </w:p>
    <w:p>
      <w:r>
        <w:rPr>
          <w:i/>
          <w:color w:val="666666"/>
          <w:sz w:val="18"/>
        </w:rPr>
        <w:t>Moonajilin MS et al.  ·  Health Expect  ·  Okt. 2026  ·  PMID 42886171</w:t>
      </w:r>
    </w:p>
    <w:p>
      <w:r>
        <w:t>Qualitative Studie mit 26 jungen Erwachsenen (18–25 Jahre) in Dhaka, Bangladesch; semi-strukturierte Interviews mit inhaltsanalytischem Schwerpunkt auf die Verknüpfung von Schlafmangel, Ernährung und Körpergewicht im Kontext struktureller und soziokultureller Bedingungen.</w:t>
      </w:r>
    </w:p>
    <w:p>
      <w:r>
        <w:rPr>
          <w:b/>
        </w:rPr>
        <w:t xml:space="preserve">Ergebnis: </w:t>
      </w:r>
      <w:r>
        <w:t>Fünf zentrale Themen wurden identifiziert: (1) strukturelle und umweltbedingte Schlafstörungen, (2) digitale Nachtkultur und sozial verstärkte Wachheit, (3) Produktivität statt Schlaf als Priorität, (4) ungleiche Lasten durch Hausarbeit und Pflege, (5) wahrgenommene Verbindung zwischen unregelmäßigem Schlaf, Müdigkeit und Essverhalten. Schlaf- und Essgewohnheiten waren eingebettet in soziale, institutionelle und kulturelle Kontexte; Interventionen sollten Peer- und Familienpraktiken sowie Umweltfaktoren adressieren.</w:t>
      </w:r>
    </w:p>
    <w:p>
      <w:r>
        <w:rPr>
          <w:b/>
          <w:sz w:val="19"/>
        </w:rPr>
        <w:t xml:space="preserve">Übertragbarkeit: </w:t>
      </w:r>
      <w:r>
        <w:rPr>
          <w:sz w:val="19"/>
        </w:rPr>
        <w:t>Asiatischer Kontext mit soziostrukturellen Besonderheiten, qualitativ-explorativ</w:t>
      </w:r>
    </w:p>
    <w:p>
      <w:r>
        <w:rPr>
          <w:color w:val="5A7D3A"/>
          <w:sz w:val="18"/>
        </w:rPr>
        <w:t>https://pubmed.ncbi.nlm.nih.gov/42886171/</w:t>
      </w:r>
    </w:p>
    <w:p>
      <w:pPr>
        <w:pStyle w:val="Heading2"/>
      </w:pPr>
      <w:r>
        <w:t>Multidisziplinäres Adipositasprogramm verbesserte Patientenzufriedenheit und Lebensqualität</w:t>
      </w:r>
    </w:p>
    <w:p>
      <w:r>
        <w:rPr>
          <w:i/>
          <w:color w:val="666666"/>
          <w:sz w:val="18"/>
        </w:rPr>
        <w:t>Zugasti Murillo A et al.  ·  An Sist Sanit Navar  ·  16.10.2026  ·  PMID 42885860</w:t>
      </w:r>
    </w:p>
    <w:p>
      <w:r>
        <w:t>Evaluation eines 12-monatigen multidisziplinären Adipositasbehandlungsprogramms in Navarra (Spanien) mit 14–13 Patienten, die Patientenberichtete Ergebnisse (PROM) und Erfahrungen (PREM) beantworteten.</w:t>
      </w:r>
    </w:p>
    <w:p>
      <w:r>
        <w:rPr>
          <w:b/>
        </w:rPr>
        <w:t xml:space="preserve">Ergebnis: </w:t>
      </w:r>
      <w:r>
        <w:t>Alle drei PROM-Bereiche zeigten einen medianen Score von 3,50 (Skala 1–4). Bei den PREMs erreichte die Partizipation in Entscheidungsfindung den höchsten Median (5,00; IQR: 4,33–5,00), während Zugang und Organisation den niedrigsten Wert aufwiesen (4,00; IQR: 3,67–4,33). Die Ergebnisse zeigen Stärken und Verbesserungsbereiche im Versorgungsmodell; validierte Instrumente und längerfristige Verlaufsuntersuchungen sind erforderlich.</w:t>
      </w:r>
    </w:p>
    <w:p>
      <w:r>
        <w:rPr>
          <w:b/>
          <w:sz w:val="19"/>
        </w:rPr>
        <w:t xml:space="preserve">Übertragbarkeit: </w:t>
      </w:r>
      <w:r>
        <w:rPr>
          <w:sz w:val="19"/>
        </w:rPr>
        <w:t>Südeuropa mit vergleichbarem Sozialversicherungssystem, strukturiertes Programm-Setting</w:t>
      </w:r>
    </w:p>
    <w:p>
      <w:r>
        <w:rPr>
          <w:color w:val="5A7D3A"/>
          <w:sz w:val="18"/>
        </w:rPr>
        <w:t>https://pubmed.ncbi.nlm.nih.gov/42885860/</w:t>
      </w:r>
    </w:p>
    <w:p>
      <w:pPr>
        <w:pStyle w:val="Heading2"/>
      </w:pPr>
      <w:r>
        <w:t>Multidomain Lebensstiländerung senkte Körpergewicht bei älteren Erwachsenen nicht</w:t>
      </w:r>
    </w:p>
    <w:p>
      <w:r>
        <w:rPr>
          <w:i/>
          <w:color w:val="666666"/>
          <w:sz w:val="18"/>
        </w:rPr>
        <w:t>Zülke AE et al.  ·  BMC Geriatr  ·  15.10.2026  ·  PMID 42881367</w:t>
      </w:r>
    </w:p>
    <w:p>
      <w:r>
        <w:t>Post-hoc-Analyse der deutschen AgeWell.de-Studie mit 678 älteren Erwachsenen (60–77 Jahre, BMI ≥25), die 24 Monate eine multidimensionale Intervention (Ernährungsberatung, körperliche und kognitive Aktivität, kardiovaskuläre Risikofaktoren, psychische Gesundheit) oder Kontrolle erhielten.</w:t>
      </w:r>
    </w:p>
    <w:p>
      <w:r>
        <w:rPr>
          <w:b/>
        </w:rPr>
        <w:t xml:space="preserve">Ergebnis: </w:t>
      </w:r>
      <w:r>
        <w:t>Die Intervention war nicht mit einer Gewichtsabnahme nach 24 Monaten assoziiert (b=−0,30, 95%-KI: −0,51–1,11). Trotz hoher Motivation und Veränderungen in Ernährung und körperlicher Aktivität bei der Interventionsgruppe zeigten sich keine messbaren Gewichtsverluste. Dies deutet darauf hin, dass Verhaltensprogramme allein in dieser Altersgruppe ohne intensive pharmakologische Unterstützung nicht ausreichen.</w:t>
      </w:r>
    </w:p>
    <w:p>
      <w:r>
        <w:rPr>
          <w:b/>
          <w:sz w:val="19"/>
        </w:rPr>
        <w:t xml:space="preserve">Übertragbarkeit: </w:t>
      </w:r>
      <w:r>
        <w:rPr>
          <w:sz w:val="19"/>
        </w:rPr>
        <w:t>Deutsche Klinikdaten, direkter Versorgungsbezug, vergleichbare Dokumentationspflichten</w:t>
      </w:r>
    </w:p>
    <w:p>
      <w:r>
        <w:rPr>
          <w:color w:val="5A7D3A"/>
          <w:sz w:val="18"/>
        </w:rPr>
        <w:t>https://pubmed.ncbi.nlm.nih.gov/42881367/</w:t>
      </w:r>
    </w:p>
    <w:p>
      <w:pPr>
        <w:pStyle w:val="Heading2"/>
      </w:pPr>
      <w:r>
        <w:t>Herzfrequenzvariabilität erklärt teilweise Leberwertveränderungen bei Adipositas</w:t>
      </w:r>
    </w:p>
    <w:p>
      <w:r>
        <w:rPr>
          <w:i/>
          <w:color w:val="666666"/>
          <w:sz w:val="18"/>
        </w:rPr>
        <w:t>Gao L et al.  ·  Diabetes Obes Metab  ·  24.08.2026  ·  PMID 42638186</w:t>
      </w:r>
    </w:p>
    <w:p>
      <w:r>
        <w:t>Querschnittsstudie mit 432 Erwachsenen mit Übergewicht oder Adipositas und Validierung in 21.383 UK-Biobank-Teilnehmern; Untersuchung, inwieweit kardiale autonome Marker (Ruhehertzfrequenz, Herzfrequenzvariabilität) die Assoziation zwischen Adipositas und Leberwerterhöhung (ALT, AST, GGT) mediieren.</w:t>
      </w:r>
    </w:p>
    <w:p>
      <w:r>
        <w:rPr>
          <w:b/>
        </w:rPr>
        <w:t xml:space="preserve">Ergebnis: </w:t>
      </w:r>
      <w:r>
        <w:t>Höherer BMI und Taillen-Größen-Ratio waren mit erhöhten Leberwerten und höherer Ruhehertzfrequenz sowie niedrigerer Herzfrequenzvariabilität assoziiert. Ruhehertzfrequenz war der konsistenteste kardiale Mediator und erklärte 16,6–27,5 % der BMI-Assoziationen mit Leberwerten und 17,8–36,9 % der Taillen-Größen-Ratio-Assoziationen. Die Wirkungen blieben nach Einschluss von HOMA-IR statistisch signifikant, besonders für ALT. In UK Biobank erklärte Pulsfrequenz 5,83–9,47 % der Assoziationen.</w:t>
      </w:r>
    </w:p>
    <w:p>
      <w:r>
        <w:rPr>
          <w:b/>
          <w:sz w:val="19"/>
        </w:rPr>
        <w:t xml:space="preserve">Übertragbarkeit: </w:t>
      </w:r>
      <w:r>
        <w:rPr>
          <w:sz w:val="19"/>
        </w:rPr>
        <w:t>UK Biobank plus klinische Kohortendaten, vergleichbare cardiometabolische Risikomodelle</w:t>
      </w:r>
    </w:p>
    <w:p>
      <w:r>
        <w:rPr>
          <w:color w:val="5A7D3A"/>
          <w:sz w:val="18"/>
        </w:rPr>
        <w:t>https://pubmed.ncbi.nlm.nih.gov/42638186/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Adipositas</dc:title>
  <dc:subject/>
  <dc:creator>Monitor Versorgungsforschung</dc:creator>
  <cp:keywords/>
  <dc:description>generated by python-docx</dc:description>
  <cp:lastModifiedBy/>
  <cp:revision>1</cp:revision>
  <dcterms:created xsi:type="dcterms:W3CDTF">2026-10-17T06:00:00Z</dcterms:created>
  <dcterms:modified xsi:type="dcterms:W3CDTF">2026-10-17T06:00:00Z</dcterms:modified>
  <cp:category/>
</cp:coreProperties>
</file>