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20.10.2026  |  6 Studien  |  adipositas.m-vf.de</w:t>
      </w:r>
    </w:p>
    <w:p>
      <w:pPr>
        <w:pStyle w:val="Heading1"/>
      </w:pPr>
      <w:r>
        <w:t>Aufgenommen am 20.10.2026</w:t>
      </w:r>
    </w:p>
    <w:p>
      <w:pPr>
        <w:pStyle w:val="Heading2"/>
      </w:pPr>
      <w:r>
        <w:t>Übergewicht und Adipositas bei Kindern erhöhen Ausgaben um 4–7 %</w:t>
      </w:r>
    </w:p>
    <w:p>
      <w:r>
        <w:rPr>
          <w:i/>
          <w:color w:val="666666"/>
          <w:sz w:val="18"/>
        </w:rPr>
        <w:t>Valdés N et al.  ·  J Glob Health  ·  19.10.2026  ·  PMID 42895256</w:t>
      </w:r>
    </w:p>
    <w:p>
      <w:r>
        <w:t>Analyse von 652.297 chilenischen Schulkindern mit Verknüpfung von Messdaten und Gesundheitsausgabenregistern zur Abschätzung jährlicher Mehrkosten.</w:t>
      </w:r>
    </w:p>
    <w:p>
      <w:r>
        <w:rPr>
          <w:b/>
        </w:rPr>
        <w:t xml:space="preserve">Ergebnis: </w:t>
      </w:r>
      <w:r>
        <w:t>Hohes BMI-für-Alter war mit 4,2–4,5 % höheren jährlichen Ausgaben assoziiert (justierte Modelle); Übergewicht allein mit 2,5 %, Adipositas mit 6,1–6,6 %. Ausgabenunterschiede waren bereits in früher Kindheit vorhanden.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Südamerika, öffentlich-privates Versicherungssystem; Methode aber auf Deutschland übertragbar.</w:t>
      </w:r>
    </w:p>
    <w:p>
      <w:r>
        <w:rPr>
          <w:color w:val="5A7D3A"/>
          <w:sz w:val="18"/>
        </w:rPr>
        <w:t>https://pubmed.ncbi.nlm.nih.gov/42895256/</w:t>
      </w:r>
    </w:p>
    <w:p>
      <w:pPr>
        <w:pStyle w:val="Heading2"/>
      </w:pPr>
      <w:r>
        <w:t>GLP-1-Agonisten: gastrointestinale Symptome bei über 50 % nach 5 Jahren</w:t>
      </w:r>
    </w:p>
    <w:p>
      <w:r>
        <w:rPr>
          <w:i/>
          <w:color w:val="666666"/>
          <w:sz w:val="18"/>
        </w:rPr>
        <w:t>Cisneros JZ et al.  ·  Neurogastroenterol Motil  ·  Okt. 2026  ·  PMID 42894471</w:t>
      </w:r>
    </w:p>
    <w:p>
      <w:r>
        <w:t>Retrospektive Kohortenstudie an 78.277 Patienten unter GLP-1-Rezeptoragonisten mit Nachverfolgung über 60 Monate zur Häufigkeit gastrointestinaler Symptome (Übelkeit, Bauchschmerz, Diarrhö, Obstipation).</w:t>
      </w:r>
    </w:p>
    <w:p>
      <w:r>
        <w:rPr>
          <w:b/>
        </w:rPr>
        <w:t xml:space="preserve">Ergebnis: </w:t>
      </w:r>
      <w:r>
        <w:t>Bei 53 % trat mindestens ein gastrointestinales Symptomereignis auf; am häufigsten Bauchschmerz (28 %) und Übelkeit (25 %). Frauen hatten 1,4-fach höheres Risiko als Männer. Baseline-Symptome, weibliches Geschlecht und Metoclopramid erhöhten das Risiko (HR 1,6–2,2).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Nebenwirkungsprofil medikamentsspezifisch und nicht an Versicherungssystem gebunden.</w:t>
      </w:r>
    </w:p>
    <w:p>
      <w:r>
        <w:rPr>
          <w:color w:val="5A7D3A"/>
          <w:sz w:val="18"/>
        </w:rPr>
        <w:t>https://pubmed.ncbi.nlm.nih.gov/42894471/</w:t>
      </w:r>
    </w:p>
    <w:p>
      <w:pPr>
        <w:pStyle w:val="Heading2"/>
      </w:pPr>
      <w:r>
        <w:t>Präkonzeptionelle Lebensstiländerungen: Nutzen bei Übergewicht vor Schwangerschaft</w:t>
      </w:r>
    </w:p>
    <w:p>
      <w:r>
        <w:rPr>
          <w:i/>
          <w:color w:val="666666"/>
          <w:sz w:val="18"/>
        </w:rPr>
        <w:t>Mateusz S et al.  ·  Arch Gynecol Obstet  ·  22.07.2026  ·  PMID 42894025</w:t>
      </w:r>
    </w:p>
    <w:p>
      <w:r>
        <w:t>Strukturierte Übersichtsarbeit (13 Studien, 2019–2023) zu Outcomes nach konservativen Interventionen (Ernährung, Bewegung, Gewichtsverlust) vor Schwangerschaft.</w:t>
      </w:r>
    </w:p>
    <w:p>
      <w:r>
        <w:rPr>
          <w:b/>
        </w:rPr>
        <w:t xml:space="preserve">Ergebnis: </w:t>
      </w:r>
      <w:r>
        <w:t>Gewichtsverlust zeigte ausgewählte Fertilitätsgewinne und Reduktion rezidivierender Gestationsdiabetes; Effekte heterogen je nach Intervention und Gewichtsabnahme. Langzeitnutzen erforderte Verhaltenserhalt.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außereuropäische Studien, aber Frage zur Vorbeugung ist systemunabhängig.</w:t>
      </w:r>
    </w:p>
    <w:p>
      <w:r>
        <w:rPr>
          <w:color w:val="5A7D3A"/>
          <w:sz w:val="18"/>
        </w:rPr>
        <w:t>https://pubmed.ncbi.nlm.nih.gov/42894025/</w:t>
      </w:r>
    </w:p>
    <w:p>
      <w:pPr>
        <w:pStyle w:val="Heading2"/>
      </w:pPr>
      <w:r>
        <w:t>Zuckerhaltige Getränke erhöhen abdominalem Adipositas um 20 % bei Kindern</w:t>
      </w:r>
    </w:p>
    <w:p>
      <w:r>
        <w:rPr>
          <w:i/>
          <w:color w:val="666666"/>
          <w:sz w:val="18"/>
        </w:rPr>
        <w:t>Yang Y et al.  ·  Zhonghua Yu Fang Yi Xue Za Zhi  ·  06.10.2026  ·  PMID 42893908</w:t>
      </w:r>
    </w:p>
    <w:p>
      <w:r>
        <w:t>Querschnittsstudie an 11.646 Schulkindern mit Beverages-Konsummuster-Analyse (Hauptkomponentenanalyse) und Assoziationen mit allgemeiner und abdominaler Adipositas.</w:t>
      </w:r>
    </w:p>
    <w:p>
      <w:r>
        <w:rPr>
          <w:b/>
        </w:rPr>
        <w:t xml:space="preserve">Ergebnis: </w:t>
      </w:r>
      <w:r>
        <w:t>Zuckerhaltiges Getränkemuster versus Milch-/Fruchtsaft: erhöhte OR für Gesamtadipsitas 1,154, abdominale Adipositas 1,195, Koexistenz beider 1,175 (alle p&lt;0,05 nach Benjamini-Hochberg-Korrektur). Assoziationen stärker bei Adoleszenten, Jungen und Stadtbewohnern.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beverage-spezifisch aber auf Deutschland übertragbar (Prävention).</w:t>
      </w:r>
    </w:p>
    <w:p>
      <w:r>
        <w:rPr>
          <w:color w:val="5A7D3A"/>
          <w:sz w:val="18"/>
        </w:rPr>
        <w:t>https://pubmed.ncbi.nlm.nih.gov/42893908/</w:t>
      </w:r>
    </w:p>
    <w:p>
      <w:pPr>
        <w:pStyle w:val="Heading2"/>
      </w:pPr>
      <w:r>
        <w:t>Schwere Adipositas: körperliche Funktionsfähigkeit und Lebensqualität deutlich vermindert</w:t>
      </w:r>
    </w:p>
    <w:p>
      <w:r>
        <w:rPr>
          <w:i/>
          <w:color w:val="666666"/>
          <w:sz w:val="18"/>
        </w:rPr>
        <w:t>Macedo TSG et al.  ·  J Obes  ·  2026  ·  PMID 42891656</w:t>
      </w:r>
    </w:p>
    <w:p>
      <w:r>
        <w:t>Metaanalyse von 20 Querschnittsstudien zu Lebensqualität (hauptsächlich SF-36) bei Erwachsenen mit BMI ≥40 kg/m².</w:t>
      </w:r>
    </w:p>
    <w:p>
      <w:r>
        <w:rPr>
          <w:b/>
        </w:rPr>
        <w:t xml:space="preserve">Ergebnis: </w:t>
      </w:r>
      <w:r>
        <w:t>Erwachsene mit schwerer Adipositas zeigten konsistent niedrigere Scores in körperlichen Bereichen (physische Funktionsfähigkeit, Schmerz, allgemeine Gesundheit); in psychischen Bereichen Vitalität besonders reduziert. Hohe Heterogenität zwischen 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Studien, aber Erhebungsinstrumente (SF-36) kulturübergreifend validiert.</w:t>
      </w:r>
    </w:p>
    <w:p>
      <w:r>
        <w:rPr>
          <w:color w:val="5A7D3A"/>
          <w:sz w:val="18"/>
        </w:rPr>
        <w:t>https://pubmed.ncbi.nlm.nih.gov/42891656/</w:t>
      </w:r>
    </w:p>
    <w:p>
      <w:pPr>
        <w:pStyle w:val="Heading2"/>
      </w:pPr>
      <w:r>
        <w:t>Semaglutid zeigt tumorhemmende Effekte bei Phäochromozytom-Cluster-1, aber Tumor-Förderung bei MEN2</w:t>
      </w:r>
    </w:p>
    <w:p>
      <w:r>
        <w:rPr>
          <w:i/>
          <w:color w:val="666666"/>
          <w:sz w:val="18"/>
        </w:rPr>
        <w:t>Wang K et al.  ·  Endocr Relat Cancer  ·  01.10.2026  ·  PMID 42847129</w:t>
      </w:r>
    </w:p>
    <w:p>
      <w:r>
        <w:t>Funktionale Studien an 54 patienteneigenen Phäochromozytom/Paragangliom-Primärkulturen sowie klinische Korrelation bei 67 Patienten aus prospektiver Studie (PROSPHEO) zu Effekten von Semaglutid, Metformin und Insulin.</w:t>
      </w:r>
    </w:p>
    <w:p>
      <w:r>
        <w:rPr>
          <w:b/>
        </w:rPr>
        <w:t xml:space="preserve">Ergebnis: </w:t>
      </w:r>
      <w:r>
        <w:t>Cluster-abhängig: Semaglutid zeigte signifikante Tumorhemmung bei Cluster-1-Tumoren, aber tumorförderliche Effekte in drei Tumoren mit keimbahnmutiertem RET (MEN2-Syndrom). Metformin zeigte Tumorhemmung, Insulin tumorförderliche Effekte. Klinisch: größere Mediantumore unter Insulin als unter Metformin/GLP-1RA.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Schweiz; Befund warnt vor unkritischem Einsatz bei MEN2-Patienten.</w:t>
      </w:r>
    </w:p>
    <w:p>
      <w:r>
        <w:rPr>
          <w:color w:val="5A7D3A"/>
          <w:sz w:val="18"/>
        </w:rPr>
        <w:t>https://pubmed.ncbi.nlm.nih.gov/42847129/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2026-10-20T06:00:00Z</dcterms:created>
  <dcterms:modified xsi:type="dcterms:W3CDTF">2026-10-20T06:00:00Z</dcterms:modified>
  <cp:category/>
</cp:coreProperties>
</file>