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22.09.2026  |  7 Studien  |  adipositas.m-vf.de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Lipoödem wird häufig als Adipositas fehlklassifiziert – phänotypbasierte Versorgung nötig</w:t>
      </w:r>
    </w:p>
    <w:p>
      <w:r>
        <w:rPr>
          <w:i/>
          <w:color w:val="666666"/>
          <w:sz w:val="18"/>
        </w:rPr>
        <w:t>Varghese RT et al.  ·  Clin Obes  ·  Okt. 2026  ·  PMID 42767624</w:t>
      </w:r>
    </w:p>
    <w:p>
      <w:r>
        <w:t>Narrative Übersichtsarbeit zur Abgrenzung von Lipoödem (schmerzhafte, disproportionale Extremitätenfettverteilung) von generalisierter Adipositas und deren unterschiedlichen metabolischen Profilen.</w:t>
      </w:r>
    </w:p>
    <w:p>
      <w:r>
        <w:rPr>
          <w:b/>
        </w:rPr>
        <w:t xml:space="preserve">Ergebnis: </w:t>
      </w:r>
      <w:r>
        <w:t>Einige Studien berichten weniger metabolische Abnormitäten bei Lipoödem als bei BMI-gematchter Adipositas, doch fehlende Standardisierung und Referralverzerrung erschweren sichere Schlüsse. Kardiovaskuläre Risiken sollten phänotypbasiert bewertet werden – nicht allein durch BMI, sondern mit Waist-to-Height-Ratio, Körperzusammensetzung und zentralem Fett. GLP-1-RA bleiben bei etablierten Indikationen angezeigt.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Deutschsprachige Literatur integriert, klinisch relevant für Versorgungsgerechtigkeit.</w:t>
      </w:r>
    </w:p>
    <w:p>
      <w:r>
        <w:rPr>
          <w:color w:val="5A7D3A"/>
          <w:sz w:val="18"/>
        </w:rPr>
        <w:t>https://pubmed.ncbi.nlm.nih.gov/42767624/</w:t>
      </w:r>
    </w:p>
    <w:p>
      <w:pPr>
        <w:pStyle w:val="Heading2"/>
      </w:pPr>
      <w:r>
        <w:t>GLP-1-Rezeptoragonisten senken Dekompensation und Mortalität bei älteren Patienten mit MASLD</w:t>
      </w:r>
    </w:p>
    <w:p>
      <w:r>
        <w:rPr>
          <w:i/>
          <w:color w:val="666666"/>
          <w:sz w:val="18"/>
        </w:rPr>
        <w:t>Koutouratsas T et al.  ·  Age Ageing  ·  04.09.2026  ·  PMID 42765724</w:t>
      </w:r>
    </w:p>
    <w:p>
      <w:r>
        <w:t>Retrospektive Kohortenstudie mit 43.930 Patienten ≥65 Jahren mit metabolisch-assoziierter Fettlebererkrankung (MASLD), die GLP-1-Rezeptoragonisten initiierten vs. unbehandelt; Follow-up bis 10 Jahre.</w:t>
      </w:r>
    </w:p>
    <w:p>
      <w:r>
        <w:rPr>
          <w:b/>
        </w:rPr>
        <w:t xml:space="preserve">Ergebnis: </w:t>
      </w:r>
      <w:r>
        <w:t>GLP-1-RA-Nutzer zeigten niedrigere Hazard Ratios für hepatische Dekompensation (HR 0,72, 95%-KI 0,66–0,79), Mortalität (HR 0,55, 0,52–0,58) und Krankenhausaufenthalte (HR 0,95, 0,93–0,97). MACE zeigte keine Reduktion (HR 0,98, 0,92–1,04). Häufigere gastrointestinale Ereignisse und Retinopathie wurden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andere Kostenübernahmeregelungen als Deutschland; Sicherheitssignale aber übertragbar.</w:t>
      </w:r>
    </w:p>
    <w:p>
      <w:r>
        <w:rPr>
          <w:color w:val="5A7D3A"/>
          <w:sz w:val="18"/>
        </w:rPr>
        <w:t>https://pubmed.ncbi.nlm.nih.gov/42765724/</w:t>
      </w:r>
    </w:p>
    <w:p>
      <w:pPr>
        <w:pStyle w:val="Heading2"/>
      </w:pPr>
      <w:r>
        <w:t>Soziale Fragmentierung im Wohngebiet assoziiert mit Übergewicht bei Mädchen – Querschnitt Porto</w:t>
      </w:r>
    </w:p>
    <w:p>
      <w:r>
        <w:rPr>
          <w:i/>
          <w:color w:val="666666"/>
          <w:sz w:val="18"/>
        </w:rPr>
        <w:t>Lourenço AC et al.  ·  Am J Hum Biol  ·  Sept. 2026  ·  PMID 42764604</w:t>
      </w:r>
    </w:p>
    <w:p>
      <w:r>
        <w:t>Querschnittstudie bei 832 Kindern (3–10 Jahre) in Porto zu Nachbarschafts-Sozialer-Fragmentierung (aus 2021-Zensus) und exzessivem Körpergewicht.</w:t>
      </w:r>
    </w:p>
    <w:p>
      <w:r>
        <w:rPr>
          <w:b/>
        </w:rPr>
        <w:t xml:space="preserve">Ergebnis: </w:t>
      </w:r>
      <w:r>
        <w:t>Keine Assoziation bei Jungen. Bei Mädchen: Die am wenigsten fragmentierten Nachbarschaften zeigten niedrigere Odds für Übergewicht vs. am meisten fragmentierte (OR 0,55, 95%-KI 0,32–0,94, p=0,030). Geschlechtsspezifische Unterschiede deuten auf unterschiedliche soziale und/oder Umgebungsmechanismen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Zensusdaten vergleichbar mit deutschem Statistiksystem; relevant für Neighbourhood-Health-Forschung in DACH.</w:t>
      </w:r>
    </w:p>
    <w:p>
      <w:r>
        <w:rPr>
          <w:color w:val="5A7D3A"/>
          <w:sz w:val="18"/>
        </w:rPr>
        <w:t>https://pubmed.ncbi.nlm.nih.gov/42764604/</w:t>
      </w:r>
    </w:p>
    <w:p>
      <w:pPr>
        <w:pStyle w:val="Heading2"/>
      </w:pPr>
      <w:r>
        <w:t>Beta-Hydroxy-Beta-Methylbutyrat-Supplement erhöhte Muskelmasse nicht signifikant bei sarkopenischer Adipositas</w:t>
      </w:r>
    </w:p>
    <w:p>
      <w:r>
        <w:rPr>
          <w:i/>
          <w:color w:val="666666"/>
          <w:sz w:val="18"/>
        </w:rPr>
        <w:t>Fraenkel E et al.  ·  Orv Hetil  ·  20.09.2026  ·  PMID 42763880</w:t>
      </w:r>
    </w:p>
    <w:p>
      <w:r>
        <w:t>Querschnittstudie (n=48, 55–84 Jahre) mit 6-Monats-Follow-up zu HMB-haltigem Diabetes-spezifischem Nahrungsergänzungsmittel bei Patienten mit Typ-2-Diabetes, sarkopenischer Adipositas und MASLD.</w:t>
      </w:r>
    </w:p>
    <w:p>
      <w:r>
        <w:rPr>
          <w:b/>
        </w:rPr>
        <w:t xml:space="preserve">Ergebnis: </w:t>
      </w:r>
      <w:r>
        <w:t>28 von 48 Patienten zeigten Muskelmasse-Zunahme; 16 davon ≤5%, 8 &gt;5%, 4 &gt;10% des Ausgangswerts. 20 Patienten hatten Abnahmen ≤5%. Muskelmaßveränderungen erreichten keine statistische Signifikanz. Höheres Alter (OR 0,87, p=0,04) und höhere Triglyzeride (OR 0,21, p=0,05) waren negative Prädiktoren. Kleine Fallzahl, fehlende Signifikanz trotz Trend.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Ungarn/Slowakei, kleine Kohorte; begrenzte Übertragbarkeit auf deutsche Routineversorgung.</w:t>
      </w:r>
    </w:p>
    <w:p>
      <w:r>
        <w:rPr>
          <w:color w:val="5A7D3A"/>
          <w:sz w:val="18"/>
        </w:rPr>
        <w:t>https://pubmed.ncbi.nlm.nih.gov/42763880/</w:t>
      </w:r>
    </w:p>
    <w:p>
      <w:pPr>
        <w:pStyle w:val="Heading2"/>
      </w:pPr>
      <w:r>
        <w:t>Metabolisches Syndrom-Inzidenz in Südxinjiang: 32,06 pro 1000 Personenjahre, höher bei Männern</w:t>
      </w:r>
    </w:p>
    <w:p>
      <w:r>
        <w:rPr>
          <w:i/>
          <w:color w:val="666666"/>
          <w:sz w:val="18"/>
        </w:rPr>
        <w:t>Gu SJ et al.  ·  Zhonghua Liu Xing Bing Xue Za Zhi  ·  10.09.2026  ·  PMID 42763190</w:t>
      </w:r>
    </w:p>
    <w:p>
      <w:r>
        <w:t>Prospektive ländliche Kohortenstudie (n=12.813, 2016–2024) in Südxinjiang mit Latenter-Klassen-Analyse und Cox-Regressionen zu Metabolischem Syndrom (MS).</w:t>
      </w:r>
    </w:p>
    <w:p>
      <w:r>
        <w:rPr>
          <w:b/>
        </w:rPr>
        <w:t xml:space="preserve">Ergebnis: </w:t>
      </w:r>
      <w:r>
        <w:t>MS-Inzidenz 32,06/1000 Personenjahre; Männer 37,25, Frauen 27,89/1000 PJ. Unabhängige Risikofaktoren: Alter &gt;30 Jahre, Übergewicht/Adipositas, abnormales LDL-C, abnormale Gamma-Glutamyl-Transferase, high-TG–high-waist-circumference-Phänotyp, hypertension–high-waist-circumference-Phänotyp (alle HR&gt;1,00, p&lt;0,05). 31–60 Jahre: höchste Risikokonzentration. Sekundarschulbildung senkte Risiko. Geschlechts- und Altersspezifische Unterschiede in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Präventions- und Screening-Framework auf Hochrisiko-Populationen in Deutschland übertragbar.</w:t>
      </w:r>
    </w:p>
    <w:p>
      <w:r>
        <w:rPr>
          <w:color w:val="5A7D3A"/>
          <w:sz w:val="18"/>
        </w:rPr>
        <w:t>https://pubmed.ncbi.nlm.nih.gov/42763190/</w:t>
      </w:r>
    </w:p>
    <w:p>
      <w:pPr>
        <w:pStyle w:val="Heading2"/>
      </w:pPr>
      <w:r>
        <w:t>Polygene Risikoscores und Adipositas erhöhen Progression von Typ-2-Diabetes zu Darmkrebs-Komorbiditäten</w:t>
      </w:r>
    </w:p>
    <w:p>
      <w:r>
        <w:rPr>
          <w:i/>
          <w:color w:val="666666"/>
          <w:sz w:val="18"/>
        </w:rPr>
        <w:t>Liu B et al.  ·  BMC Cancer  ·  20.08.2026  ·  PMID 42754861</w:t>
      </w:r>
    </w:p>
    <w:p>
      <w:r>
        <w:t>Chinesische Populationsstudie (n=805, vier Gruppen) mit genetischen Daten zu T2D-Darmkrebs-Komorbiditäten, Polygene Risikoscores (PRS) und BMI-Wechselwirkungen.</w:t>
      </w:r>
    </w:p>
    <w:p>
      <w:r>
        <w:rPr>
          <w:b/>
        </w:rPr>
        <w:t xml:space="preserve">Ergebnis: </w:t>
      </w:r>
      <w:r>
        <w:t>T2D-CRC-Komorbiditäts-Gruppe hatte höhere PRS für beide Erkrankungen als Kontrollen. T2D-PRS: Borderline-Assoziation mit isoliertem Darmkrebs-Risiko (OR 1,24, p=0,046). BMI modifizierte die Assoziation zwischen CRC-genetischer Last und Risiko signifikant (OR 1,75, 95%-KI 1,27–2,34; p=0,033), stärker in Übergewichtigen. Transitionsrisiko von T2D zu Komorbiditäten mit erhöhter CRC-genetischer Last (HR 1,21, p=0,037).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genetisch vergleichbare Populationen; epidemiologisches Konzept auf DACH übertragbar.</w:t>
      </w:r>
    </w:p>
    <w:p>
      <w:r>
        <w:rPr>
          <w:color w:val="5A7D3A"/>
          <w:sz w:val="18"/>
        </w:rPr>
        <w:t>https://pubmed.ncbi.nlm.nih.gov/42754861/</w:t>
      </w:r>
    </w:p>
    <w:p>
      <w:pPr>
        <w:pStyle w:val="Heading2"/>
      </w:pPr>
      <w:r>
        <w:t>Genetische Varianten für Antipsychotika-induzierte Gewichtszunahme: Systematische Übersicht von 53 Studien</w:t>
      </w:r>
    </w:p>
    <w:p>
      <w:r>
        <w:rPr>
          <w:i/>
          <w:color w:val="666666"/>
          <w:sz w:val="18"/>
        </w:rPr>
        <w:t>Kronenbuerger M et al.  ·  Schizophr Res  ·  21.07.2026  ·  PMID 42480244</w:t>
      </w:r>
    </w:p>
    <w:p>
      <w:r>
        <w:t>Systematische Übersicht (PRISMA) von 2018–2026 zu Polymorphismen und epigenetischen Markern, die mit Antipsychotika-induzierter Gewichtszunahme (AIWG) assoziiert sind.</w:t>
      </w:r>
    </w:p>
    <w:p>
      <w:r>
        <w:rPr>
          <w:b/>
        </w:rPr>
        <w:t xml:space="preserve">Ergebnis: </w:t>
      </w:r>
      <w:r>
        <w:t>DRD2, HTR2C, MC4R wurden in Kandidaten-Gen-Studien am konsistentesten repliziert. Genome-wide association studies identifizierten novel associations (MAP2K1, ZDBF2, PEPD). Kein einzelner genetischer Marker ist klinisch anwendungsreif; Multi-Omics und Mehrahnenstudien sind notwendig. 53 eingeschlossene Studien, begrenzte Replikation und methodische Heterogenität.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Psychiatrische Versorgung in Deutschland betroffen; keine direkten Handlungsempfehlungen für Praxis, aber relevant für Risikoprävention.</w:t>
      </w:r>
    </w:p>
    <w:p>
      <w:r>
        <w:rPr>
          <w:color w:val="5A7D3A"/>
          <w:sz w:val="18"/>
        </w:rPr>
        <w:t>https://pubmed.ncbi.nlm.nih.gov/42480244/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