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19.10.2026  |  6 Studien  |  adipositas.m-vf.de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Adipositas erhöht Fehlgeburtsrisiko in der Fertilitätsbehandlung konsistent um 60 Prozent</w:t>
      </w:r>
    </w:p>
    <w:p>
      <w:r>
        <w:rPr>
          <w:i/>
          <w:color w:val="666666"/>
          <w:sz w:val="18"/>
        </w:rPr>
        <w:t>Wan X et al.  ·  J Ovarian Res  ·  09.10.2026  ·  PMID 42892695</w:t>
      </w:r>
    </w:p>
    <w:p>
      <w:r>
        <w:t>Retrospektive Kohorte mit 8.923 IVF-Zyklen (PCOS, Ovarielles Insuffizienzrisiko, Tubenfaktor) zu BMI, FSH und Reproduktionsergebnissen; Vermittlungsanalyse mit Mediationsanalyse.</w:t>
      </w:r>
    </w:p>
    <w:p>
      <w:r>
        <w:rPr>
          <w:b/>
        </w:rPr>
        <w:t xml:space="preserve">Ergebnis: </w:t>
      </w:r>
      <w:r>
        <w:t>Adipositas (BMI ≥30) assoziiert mit erhöhtem Fehlgeburtsrisiko konsistent über alle drei Infertilitäts-Etiologien: OR 1,60 (95% KI 1,02–2,53), p=0,041, Number Needed to Harm 19. Indirekte Assoziation mit Eizellzahl via FSH gering (5,3–8,2% mediiert) und mit breiten Konfidenzintervallen. Live-Birth-Analyse zu schwach powered (5,3% Kraft).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RMZ-Daten; Assoziationsfunde sind übertragbar, klinische Kausalität bleibt unklar</w:t>
      </w:r>
    </w:p>
    <w:p>
      <w:r>
        <w:rPr>
          <w:color w:val="5A7D3A"/>
          <w:sz w:val="18"/>
        </w:rPr>
        <w:t>https://pubmed.ncbi.nlm.nih.gov/42892695/</w:t>
      </w:r>
    </w:p>
    <w:p>
      <w:pPr>
        <w:pStyle w:val="Heading2"/>
      </w:pPr>
      <w:r>
        <w:t>Muskelmasse senkt Metabolisches-Syndrom-Risiko unabhängig von Adipositas</w:t>
      </w:r>
    </w:p>
    <w:p>
      <w:r>
        <w:rPr>
          <w:i/>
          <w:color w:val="666666"/>
          <w:sz w:val="18"/>
        </w:rPr>
        <w:t>Lee EY et al.  ·  Endocrine  ·  17.10.2026  ·  PMID 42891876</w:t>
      </w:r>
    </w:p>
    <w:p>
      <w:r>
        <w:t>Querschnittstudie (KNHANES 2024) mit 3.033 koreanischen Erwachsenen ≥40 Jahren: Assoziationen von DXA-Muskelmasse und Handgriffstärke mit metabolischem Syndrom, jeweils normalisiert nach Körpergewicht.</w:t>
      </w:r>
    </w:p>
    <w:p>
      <w:r>
        <w:rPr>
          <w:b/>
        </w:rPr>
        <w:t xml:space="preserve">Ergebnis: </w:t>
      </w:r>
      <w:r>
        <w:t>Appendikuläre Skeletmuskelmasse pro Körpergewicht (ASM/BW) invers assoziiert mit MetS: Männer OR 0,79 (95% KI 0,73–0,86), Frauen OR 0,86 (95% KI 0,80–0,92) pro SD-Anstieg; relative Handgriffstärke ebenfalls invers (Männer OR 0,98, Frauen OR 0,97). Höchstes MetS-Risiko mit niedriger Muskelmasse und Kraft kombiniert: OR 3,04 (Männer), OR 2,42 (Frauen).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Nationale repräsentative Daten mit DXA; Normalisierungsmethoden sind zentral, bedürfen aber Validierung</w:t>
      </w:r>
    </w:p>
    <w:p>
      <w:r>
        <w:rPr>
          <w:color w:val="5A7D3A"/>
          <w:sz w:val="18"/>
        </w:rPr>
        <w:t>https://pubmed.ncbi.nlm.nih.gov/42891876/</w:t>
      </w:r>
    </w:p>
    <w:p>
      <w:pPr>
        <w:pStyle w:val="Heading2"/>
      </w:pPr>
      <w:r>
        <w:t>Schlafqualität senkt Depressionsrisiko bei Übergewicht um 53 Prozent</w:t>
      </w:r>
    </w:p>
    <w:p>
      <w:r>
        <w:rPr>
          <w:i/>
          <w:color w:val="666666"/>
          <w:sz w:val="18"/>
        </w:rPr>
        <w:t>Xu M et al.  ·  Epidemiol Psychiatr Sci  ·  13.10.2026  ·  PMID 42864938</w:t>
      </w:r>
    </w:p>
    <w:p>
      <w:r>
        <w:t>Prospektive Kohorte mit 91.380 Personen in Übergewicht (kein Diabetes), Follow-up 12,9 Jahre, Assoziationen von Schlafscores mit psychiatrischen Erkrankungsrisiken untersucht.</w:t>
      </w:r>
    </w:p>
    <w:p>
      <w:r>
        <w:rPr>
          <w:b/>
        </w:rPr>
        <w:t xml:space="preserve">Ergebnis: </w:t>
      </w:r>
      <w:r>
        <w:t>Bei bestem Schlaf (Gruppe 6) vs. schlechtestem (Gruppe 1): Hazard Ratio 0,47 (95% KI 0,33–0,67) für psychiatrische Störungen insgesamt; für ADHS HR 0,24 (95% KI 0,08–0,72). 16 Plasmaproteine zeigten partielle Mediatoreffekte. Das Schlafqualitäts-Proteomic-Profil könnte biologische Mechanismen erhellen, die Schlaf mit psychiatrischen Ergebnissen bei Übergewicht verbinden.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UK-Biobank-Daten, direkt auf deutsches Bevölkerungsprofil übertragbar</w:t>
      </w:r>
    </w:p>
    <w:p>
      <w:r>
        <w:rPr>
          <w:color w:val="5A7D3A"/>
          <w:sz w:val="18"/>
        </w:rPr>
        <w:t>https://pubmed.ncbi.nlm.nih.gov/42864938/</w:t>
      </w:r>
    </w:p>
    <w:p>
      <w:pPr>
        <w:pStyle w:val="Heading2"/>
      </w:pPr>
      <w:r>
        <w:t>Herzinsuffizienz-assoziierte Kachexie: Proteinverlust über spezifische miRNA-Profile erkennbar</w:t>
      </w:r>
    </w:p>
    <w:p>
      <w:r>
        <w:rPr>
          <w:i/>
          <w:color w:val="666666"/>
          <w:sz w:val="18"/>
        </w:rPr>
        <w:t>Tambaro F et al.  ·  ESC Heart Fail  ·  27.08.2026  ·  PMID 42853063</w:t>
      </w:r>
    </w:p>
    <w:p>
      <w:r>
        <w:t>Fall-Kontroll-Studie mit 25 Herzinsuffizienz-Patienten und 10 Kontrollen zu miRNA- und Zytokin-Profilen bei Kachexie (≥6% Gewichtsverlust in 6 Monaten); Definition und mechanistische Assoziationen mit Funktionsparametern.</w:t>
      </w:r>
    </w:p>
    <w:p>
      <w:r>
        <w:rPr>
          <w:b/>
        </w:rPr>
        <w:t xml:space="preserve">Ergebnis: </w:t>
      </w:r>
      <w:r>
        <w:t>CHF-Patienten zeigten supprimierte miR-15b, miR-29b, miR-133a, miR-486 (alle p&lt;0,01) und erhöhte GDF-15 (p&lt;0,001). Bei Kachexie: FGF-21 erhöht (p=0,012), miR-29b erniedrigt (p=0,019). Inverse Korrelationen: FGF-21 mit miR-486 (ρ=−0,69, p=0,035), GDF-15 mit miR-21 (ρ=−0,81, p=0,007). MiRNA-Suppression und Stresszytokin-Erhöhung waren in Kachexie amplifiziiert.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Italienische/Berliner Hospitaldaten, kleines N limitiert, mechanistische Biomarker bedürfen Validierung</w:t>
      </w:r>
    </w:p>
    <w:p>
      <w:r>
        <w:rPr>
          <w:color w:val="5A7D3A"/>
          <w:sz w:val="18"/>
        </w:rPr>
        <w:t>https://pubmed.ncbi.nlm.nih.gov/42853063/</w:t>
      </w:r>
    </w:p>
    <w:p>
      <w:pPr>
        <w:pStyle w:val="Heading2"/>
      </w:pPr>
      <w:r>
        <w:t>Organschäden erhöhen Depressionsrisiko bei Adipositas dreifach</w:t>
      </w:r>
    </w:p>
    <w:p>
      <w:r>
        <w:rPr>
          <w:i/>
          <w:color w:val="666666"/>
          <w:sz w:val="18"/>
        </w:rPr>
        <w:t>Lim Y  ·  Psychiatry Res  ·  29.08.2026  ·  PMID 42696940</w:t>
      </w:r>
    </w:p>
    <w:p>
      <w:r>
        <w:t>UK-Biobank-Analyse mit 404.146 Teilnehmenden zu Organschäden-Trajektorien (gemessen über Krankenhausaufzeichnungen) und incidenter Depression über 4+ Jahre, stratifiziert nach BMI und klinischer Adipositas.</w:t>
      </w:r>
    </w:p>
    <w:p>
      <w:r>
        <w:rPr>
          <w:b/>
        </w:rPr>
        <w:t xml:space="preserve">Ergebnis: </w:t>
      </w:r>
      <w:r>
        <w:t>Persistente Organschäden assoziiert mit höherem Depressionsrisiko über alle BMI-Kategorien: in normal-, über- und adipös Klassifizierten aHR 1,91–2,48. In klinischer Adipositas ohne bisherige Organschäden: aHR 2,38; in präklinischer Adipositas: aHR 2,30 (beide vs. persistente Freiheit von Organschäden). Klinische Adipositas-Definition zeigte bessere Risikostratifizierung als BMI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Organschäden-Definition und Depressionserfassung auf Deutschland übertragbar</w:t>
      </w:r>
    </w:p>
    <w:p>
      <w:r>
        <w:rPr>
          <w:color w:val="5A7D3A"/>
          <w:sz w:val="18"/>
        </w:rPr>
        <w:t>https://pubmed.ncbi.nlm.nih.gov/42696940/</w:t>
      </w:r>
    </w:p>
    <w:p>
      <w:pPr>
        <w:pStyle w:val="Heading2"/>
      </w:pPr>
      <w:r>
        <w:t>EKG-Kriterien übersehen LVH bei Frauen und Übergewichtigen zu 80 Prozent</w:t>
      </w:r>
    </w:p>
    <w:p>
      <w:r>
        <w:rPr>
          <w:i/>
          <w:color w:val="666666"/>
          <w:sz w:val="18"/>
        </w:rPr>
        <w:t>Johansen AO et al.  ·  Int J Cardiol  ·  01.12.2026  ·  PMID 42674294</w:t>
      </w:r>
    </w:p>
    <w:p>
      <w:r>
        <w:t>Querschnittstudie (Kopenhagener Allgemeinbevölkerung, n=9.392) zu Sensitivität/Spezifität von ESC-EKG-Kriterien für LVH gegen Kardio-CT-Gold-Standard, stratifiziert nach Geschlecht und Übergewicht; Rekalibrierung der Schwellwerte.</w:t>
      </w:r>
    </w:p>
    <w:p>
      <w:r>
        <w:rPr>
          <w:b/>
        </w:rPr>
        <w:t xml:space="preserve">Ergebnis: </w:t>
      </w:r>
      <w:r>
        <w:t>Baseline-EKG-Kriterien: Sensitivität insgesamt 20%, Spezifität 96%; Sensitivität deutlich niedriger in Frauen vs. Männern (15% vs. 26%, p&lt;0,001) und Übergewicht vs. Normalgewicht (16% vs. 23%, p=0,005). Rekalibrierte Schwellwerte in Validierungskohorte: Sensitivität 36%, Spezifität 91%, mit konsistenter Sensitivität/Spezifität über Subgruppen. Neue Kriterien fördern diagnostische Gerechtigkeit über Geschlecht und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Allgemeinbevölkerung, kardiale Bildgebung und Kriterien europäisch übertragbar</w:t>
      </w:r>
    </w:p>
    <w:p>
      <w:r>
        <w:rPr>
          <w:color w:val="5A7D3A"/>
          <w:sz w:val="18"/>
        </w:rPr>
        <w:t>https://pubmed.ncbi.nlm.nih.gov/42674294/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