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19.10.2026  |  344 Studien  |  adipositas.m-vf.de</w:t>
      </w:r>
    </w:p>
    <w:p>
      <w:pPr>
        <w:pStyle w:val="Heading1"/>
      </w:pPr>
      <w:r>
        <w:t>Aufgenommen am 19.10.2026</w:t>
      </w:r>
    </w:p>
    <w:p>
      <w:pPr>
        <w:pStyle w:val="Heading2"/>
      </w:pPr>
      <w:r>
        <w:t>Adipositas erhöht Fehlgeburtsrisiko in der Fertilitätsbehandlung konsistent um 60 Prozent</w:t>
      </w:r>
    </w:p>
    <w:p>
      <w:r>
        <w:rPr>
          <w:i/>
          <w:color w:val="666666"/>
          <w:sz w:val="18"/>
        </w:rPr>
        <w:t>Wan X et al.  ·  J Ovarian Res  ·  09.10.2026  ·  PMID 42892695</w:t>
      </w:r>
    </w:p>
    <w:p>
      <w:r>
        <w:t>Retrospektive Kohorte mit 8.923 IVF-Zyklen (PCOS, Ovarielles Insuffizienzrisiko, Tubenfaktor) zu BMI, FSH und Reproduktionsergebnissen; Vermittlungsanalyse mit Mediationsanalyse.</w:t>
      </w:r>
    </w:p>
    <w:p>
      <w:r>
        <w:rPr>
          <w:b/>
        </w:rPr>
        <w:t xml:space="preserve">Ergebnis: </w:t>
      </w:r>
      <w:r>
        <w:t>Adipositas (BMI ≥30) assoziiert mit erhöhtem Fehlgeburtsrisiko konsistent über alle drei Infertilitäts-Etiologien: OR 1,60 (95% KI 1,02–2,53), p=0,041, Number Needed to Harm 19. Indirekte Assoziation mit Eizellzahl via FSH gering (5,3–8,2% mediiert) und mit breiten Konfidenzintervallen. Live-Birth-Analyse zu schwach powered (5,3% Kraft).</w:t>
      </w:r>
    </w:p>
    <w:p>
      <w:r>
        <w:rPr>
          <w:b/>
          <w:sz w:val="19"/>
        </w:rPr>
        <w:t xml:space="preserve">Übertragbarkeit: </w:t>
      </w:r>
      <w:r>
        <w:rPr>
          <w:sz w:val="19"/>
        </w:rPr>
        <w:t>Chinesische RMZ-Daten; Assoziationsfunde sind übertragbar, klinische Kausalität bleibt unklar</w:t>
      </w:r>
    </w:p>
    <w:p>
      <w:r>
        <w:rPr>
          <w:color w:val="5A7D3A"/>
          <w:sz w:val="18"/>
        </w:rPr>
        <w:t>https://pubmed.ncbi.nlm.nih.gov/42892695/</w:t>
      </w:r>
    </w:p>
    <w:p>
      <w:pPr>
        <w:pStyle w:val="Heading2"/>
      </w:pPr>
      <w:r>
        <w:t>Muskelmasse senkt Metabolisches-Syndrom-Risiko unabhängig von Adipositas</w:t>
      </w:r>
    </w:p>
    <w:p>
      <w:r>
        <w:rPr>
          <w:i/>
          <w:color w:val="666666"/>
          <w:sz w:val="18"/>
        </w:rPr>
        <w:t>Lee EY et al.  ·  Endocrine  ·  17.10.2026  ·  PMID 42891876</w:t>
      </w:r>
    </w:p>
    <w:p>
      <w:r>
        <w:t>Querschnittstudie (KNHANES 2024) mit 3.033 koreanischen Erwachsenen ≥40 Jahren: Assoziationen von DXA-Muskelmasse und Handgriffstärke mit metabolischem Syndrom, jeweils normalisiert nach Körpergewicht.</w:t>
      </w:r>
    </w:p>
    <w:p>
      <w:r>
        <w:rPr>
          <w:b/>
        </w:rPr>
        <w:t xml:space="preserve">Ergebnis: </w:t>
      </w:r>
      <w:r>
        <w:t>Appendikuläre Skeletmuskelmasse pro Körpergewicht (ASM/BW) invers assoziiert mit MetS: Männer OR 0,79 (95% KI 0,73–0,86), Frauen OR 0,86 (95% KI 0,80–0,92) pro SD-Anstieg; relative Handgriffstärke ebenfalls invers (Männer OR 0,98, Frauen OR 0,97). Höchstes MetS-Risiko mit niedriger Muskelmasse und Kraft kombiniert: OR 3,04 (Männer), OR 2,42 (Frauen).</w:t>
      </w:r>
    </w:p>
    <w:p>
      <w:r>
        <w:rPr>
          <w:b/>
          <w:sz w:val="19"/>
        </w:rPr>
        <w:t xml:space="preserve">Übertragbarkeit: </w:t>
      </w:r>
      <w:r>
        <w:rPr>
          <w:sz w:val="19"/>
        </w:rPr>
        <w:t>Nationale repräsentative Daten mit DXA; Normalisierungsmethoden sind zentral, bedürfen aber Validierung</w:t>
      </w:r>
    </w:p>
    <w:p>
      <w:r>
        <w:rPr>
          <w:color w:val="5A7D3A"/>
          <w:sz w:val="18"/>
        </w:rPr>
        <w:t>https://pubmed.ncbi.nlm.nih.gov/42891876/</w:t>
      </w:r>
    </w:p>
    <w:p>
      <w:pPr>
        <w:pStyle w:val="Heading2"/>
      </w:pPr>
      <w:r>
        <w:t>Schlafqualität senkt Depressionsrisiko bei Übergewicht um 53 Prozent</w:t>
      </w:r>
    </w:p>
    <w:p>
      <w:r>
        <w:rPr>
          <w:i/>
          <w:color w:val="666666"/>
          <w:sz w:val="18"/>
        </w:rPr>
        <w:t>Xu M et al.  ·  Epidemiol Psychiatr Sci  ·  13.10.2026  ·  PMID 42864938</w:t>
      </w:r>
    </w:p>
    <w:p>
      <w:r>
        <w:t>Prospektive Kohorte mit 91.380 Personen in Übergewicht (kein Diabetes), Follow-up 12,9 Jahre, Assoziationen von Schlafscores mit psychiatrischen Erkrankungsrisiken untersucht.</w:t>
      </w:r>
    </w:p>
    <w:p>
      <w:r>
        <w:rPr>
          <w:b/>
        </w:rPr>
        <w:t xml:space="preserve">Ergebnis: </w:t>
      </w:r>
      <w:r>
        <w:t>Bei bestem Schlaf (Gruppe 6) vs. schlechtestem (Gruppe 1): Hazard Ratio 0,47 (95% KI 0,33–0,67) für psychiatrische Störungen insgesamt; für ADHS HR 0,24 (95% KI 0,08–0,72). 16 Plasmaproteine zeigten partielle Mediatoreffekte. Das Schlafqualitäts-Proteomic-Profil könnte biologische Mechanismen erhellen, die Schlaf mit psychiatrischen Ergebnissen bei Übergewicht verbinden.</w:t>
      </w:r>
    </w:p>
    <w:p>
      <w:r>
        <w:rPr>
          <w:b/>
          <w:sz w:val="19"/>
        </w:rPr>
        <w:t xml:space="preserve">Übertragbarkeit: </w:t>
      </w:r>
      <w:r>
        <w:rPr>
          <w:sz w:val="19"/>
        </w:rPr>
        <w:t>UK-Biobank-Daten, direkt auf deutsches Bevölkerungsprofil übertragbar</w:t>
      </w:r>
    </w:p>
    <w:p>
      <w:r>
        <w:rPr>
          <w:color w:val="5A7D3A"/>
          <w:sz w:val="18"/>
        </w:rPr>
        <w:t>https://pubmed.ncbi.nlm.nih.gov/42864938/</w:t>
      </w:r>
    </w:p>
    <w:p>
      <w:pPr>
        <w:pStyle w:val="Heading2"/>
      </w:pPr>
      <w:r>
        <w:t>Herzinsuffizienz-assoziierte Kachexie: Proteinverlust über spezifische miRNA-Profile erkennbar</w:t>
      </w:r>
    </w:p>
    <w:p>
      <w:r>
        <w:rPr>
          <w:i/>
          <w:color w:val="666666"/>
          <w:sz w:val="18"/>
        </w:rPr>
        <w:t>Tambaro F et al.  ·  ESC Heart Fail  ·  27.08.2026  ·  PMID 42853063</w:t>
      </w:r>
    </w:p>
    <w:p>
      <w:r>
        <w:t>Fall-Kontroll-Studie mit 25 Herzinsuffizienz-Patienten und 10 Kontrollen zu miRNA- und Zytokin-Profilen bei Kachexie (≥6% Gewichtsverlust in 6 Monaten); Definition und mechanistische Assoziationen mit Funktionsparametern.</w:t>
      </w:r>
    </w:p>
    <w:p>
      <w:r>
        <w:rPr>
          <w:b/>
        </w:rPr>
        <w:t xml:space="preserve">Ergebnis: </w:t>
      </w:r>
      <w:r>
        <w:t>CHF-Patienten zeigten supprimierte miR-15b, miR-29b, miR-133a, miR-486 (alle p&lt;0,01) und erhöhte GDF-15 (p&lt;0,001). Bei Kachexie: FGF-21 erhöht (p=0,012), miR-29b erniedrigt (p=0,019). Inverse Korrelationen: FGF-21 mit miR-486 (ρ=−0,69, p=0,035), GDF-15 mit miR-21 (ρ=−0,81, p=0,007). MiRNA-Suppression und Stresszytokin-Erhöhung waren in Kachexie amplifiziiert.</w:t>
      </w:r>
    </w:p>
    <w:p>
      <w:r>
        <w:rPr>
          <w:b/>
          <w:sz w:val="19"/>
        </w:rPr>
        <w:t xml:space="preserve">Übertragbarkeit: </w:t>
      </w:r>
      <w:r>
        <w:rPr>
          <w:sz w:val="19"/>
        </w:rPr>
        <w:t>Italienische/Berliner Hospitaldaten, kleines N limitiert, mechanistische Biomarker bedürfen Validierung</w:t>
      </w:r>
    </w:p>
    <w:p>
      <w:r>
        <w:rPr>
          <w:color w:val="5A7D3A"/>
          <w:sz w:val="18"/>
        </w:rPr>
        <w:t>https://pubmed.ncbi.nlm.nih.gov/42853063/</w:t>
      </w:r>
    </w:p>
    <w:p>
      <w:pPr>
        <w:pStyle w:val="Heading2"/>
      </w:pPr>
      <w:r>
        <w:t>Organschäden erhöhen Depressionsrisiko bei Adipositas dreifach</w:t>
      </w:r>
    </w:p>
    <w:p>
      <w:r>
        <w:rPr>
          <w:i/>
          <w:color w:val="666666"/>
          <w:sz w:val="18"/>
        </w:rPr>
        <w:t>Lim Y  ·  Psychiatry Res  ·  29.08.2026  ·  PMID 42696940</w:t>
      </w:r>
    </w:p>
    <w:p>
      <w:r>
        <w:t>UK-Biobank-Analyse mit 404.146 Teilnehmenden zu Organschäden-Trajektorien (gemessen über Krankenhausaufzeichnungen) und incidenter Depression über 4+ Jahre, stratifiziert nach BMI und klinischer Adipositas.</w:t>
      </w:r>
    </w:p>
    <w:p>
      <w:r>
        <w:rPr>
          <w:b/>
        </w:rPr>
        <w:t xml:space="preserve">Ergebnis: </w:t>
      </w:r>
      <w:r>
        <w:t>Persistente Organschäden assoziiert mit höherem Depressionsrisiko über alle BMI-Kategorien: in normal-, über- und adipös Klassifizierten aHR 1,91–2,48. In klinischer Adipositas ohne bisherige Organschäden: aHR 2,38; in präklinischer Adipositas: aHR 2,30 (beide vs. persistente Freiheit von Organschäden). Klinische Adipositas-Definition zeigte bessere Risikostratifizierung als BMI allein.</w:t>
      </w:r>
    </w:p>
    <w:p>
      <w:r>
        <w:rPr>
          <w:b/>
          <w:sz w:val="19"/>
        </w:rPr>
        <w:t xml:space="preserve">Übertragbarkeit: </w:t>
      </w:r>
      <w:r>
        <w:rPr>
          <w:sz w:val="19"/>
        </w:rPr>
        <w:t>UK-Biobank, Organschäden-Definition und Depressionserfassung auf Deutschland übertragbar</w:t>
      </w:r>
    </w:p>
    <w:p>
      <w:r>
        <w:rPr>
          <w:color w:val="5A7D3A"/>
          <w:sz w:val="18"/>
        </w:rPr>
        <w:t>https://pubmed.ncbi.nlm.nih.gov/42696940/</w:t>
      </w:r>
    </w:p>
    <w:p>
      <w:pPr>
        <w:pStyle w:val="Heading2"/>
      </w:pPr>
      <w:r>
        <w:t>EKG-Kriterien übersehen LVH bei Frauen und Übergewichtigen zu 80 Prozent</w:t>
      </w:r>
    </w:p>
    <w:p>
      <w:r>
        <w:rPr>
          <w:i/>
          <w:color w:val="666666"/>
          <w:sz w:val="18"/>
        </w:rPr>
        <w:t>Johansen AO et al.  ·  Int J Cardiol  ·  01.12.2026  ·  PMID 42674294</w:t>
      </w:r>
    </w:p>
    <w:p>
      <w:r>
        <w:t>Querschnittstudie (Kopenhagener Allgemeinbevölkerung, n=9.392) zu Sensitivität/Spezifität von ESC-EKG-Kriterien für LVH gegen Kardio-CT-Gold-Standard, stratifiziert nach Geschlecht und Übergewicht; Rekalibrierung der Schwellwerte.</w:t>
      </w:r>
    </w:p>
    <w:p>
      <w:r>
        <w:rPr>
          <w:b/>
        </w:rPr>
        <w:t xml:space="preserve">Ergebnis: </w:t>
      </w:r>
      <w:r>
        <w:t>Baseline-EKG-Kriterien: Sensitivität insgesamt 20%, Spezifität 96%; Sensitivität deutlich niedriger in Frauen vs. Männern (15% vs. 26%, p&lt;0,001) und Übergewicht vs. Normalgewicht (16% vs. 23%, p=0,005). Rekalibrierte Schwellwerte in Validierungskohorte: Sensitivität 36%, Spezifität 91%, mit konsistenter Sensitivität/Spezifität über Subgruppen. Neue Kriterien fördern diagnostische Gerechtigkeit über Geschlecht und BMI.</w:t>
      </w:r>
    </w:p>
    <w:p>
      <w:r>
        <w:rPr>
          <w:b/>
          <w:sz w:val="19"/>
        </w:rPr>
        <w:t xml:space="preserve">Übertragbarkeit: </w:t>
      </w:r>
      <w:r>
        <w:rPr>
          <w:sz w:val="19"/>
        </w:rPr>
        <w:t>Dänische Allgemeinbevölkerung, kardiale Bildgebung und Kriterien europäisch übertragbar</w:t>
      </w:r>
    </w:p>
    <w:p>
      <w:r>
        <w:rPr>
          <w:color w:val="5A7D3A"/>
          <w:sz w:val="18"/>
        </w:rPr>
        <w:t>https://pubmed.ncbi.nlm.nih.gov/42674294/</w:t>
      </w:r>
    </w:p>
    <w:p>
      <w:pPr>
        <w:pStyle w:val="Heading1"/>
      </w:pPr>
      <w:r>
        <w:t>Aufgenommen am 18.10.2026</w:t>
      </w:r>
    </w:p>
    <w:p>
      <w:pPr>
        <w:pStyle w:val="Heading2"/>
      </w:pPr>
      <w:r>
        <w:t>Lebenslange Kosten der Kinderadipositasfolgen: Modellierung für Kasachstan zeigt 194 Mrd. KZT nationale Belastung</w:t>
      </w:r>
    </w:p>
    <w:p>
      <w:r>
        <w:rPr>
          <w:i/>
          <w:color w:val="666666"/>
          <w:sz w:val="18"/>
        </w:rPr>
        <w:t>Koichubekov B et al.  ·  Front Public Health  ·  02.10.2026  ·  PMID 42890163</w:t>
      </w:r>
    </w:p>
    <w:p>
      <w:r>
        <w:t>Dynamisches Markov-Modell schätzte lebenslange direkte medizinische Kosten der Adipositas bei Kindern (5–9 Jahre) in Kasachstan; Szenarioanalyse testete Auswirkungen einer 5- und 10%-igen Prävalenzreduktion.</w:t>
      </w:r>
    </w:p>
    <w:p>
      <w:r>
        <w:rPr>
          <w:b/>
        </w:rPr>
        <w:t xml:space="preserve">Ergebnis: </w:t>
      </w:r>
      <w:r>
        <w:t>Durchschnittliche lebenslange Kosten pro Kind: 96.996,26 KZT (USD 206,37); nationale Gesamtbelastung für 2024er Kohorte: 194 Mrd. KZT (USD 413 Mio.); kumulativ 2024–2035: 128,72 Mrd. KZT mit 71% durch Adipositas. Eine 5%-ige Prävalenzreduktion würde die lebenslange Belastung um 4,8%, eine 10%-ige Reduktion um 9,4% senken. Modellierungsstudie; Übertragbarkeit auf Deutschland begrenzt durch andere Kostenstrukturen und Gesundheitssystem.</w:t>
      </w:r>
    </w:p>
    <w:p>
      <w:r>
        <w:rPr>
          <w:b/>
          <w:sz w:val="19"/>
        </w:rPr>
        <w:t xml:space="preserve">Übertragbarkeit: </w:t>
      </w:r>
      <w:r>
        <w:rPr>
          <w:sz w:val="19"/>
        </w:rPr>
        <w:t>Kasachstan, strukturell anderes Gesundheitssystem; methodisches Vorbild für Kostenschätzung</w:t>
      </w:r>
    </w:p>
    <w:p>
      <w:r>
        <w:rPr>
          <w:color w:val="5A7D3A"/>
          <w:sz w:val="18"/>
        </w:rPr>
        <w:t>https://pubmed.ncbi.nlm.nih.gov/42890163/</w:t>
      </w:r>
    </w:p>
    <w:p>
      <w:pPr>
        <w:pStyle w:val="Heading2"/>
      </w:pPr>
      <w:r>
        <w:t>Partizipative Prävention in Portugal: Schulen und Gemeinden definieren Adipositasrisiken und Lösungen</w:t>
      </w:r>
    </w:p>
    <w:p>
      <w:r>
        <w:rPr>
          <w:i/>
          <w:color w:val="666666"/>
          <w:sz w:val="18"/>
        </w:rPr>
        <w:t>Gaspar T et al.  ·  Front Public Health  ·  01.10.2026  ·  PMID 42889270</w:t>
      </w:r>
    </w:p>
    <w:p>
      <w:r>
        <w:t>Mehrmethodische Aktionsforschung in zwei portugiesischen Regionen (ländlich, urban); Befragung von 202 Schulkindern (7,4 Jahre) und 54 Erwachsenen; Fokusgruppen mit lokalen Stakeholdern zu Gesundheitsförderung und Adipositasprävention.</w:t>
      </w:r>
    </w:p>
    <w:p>
      <w:r>
        <w:rPr>
          <w:b/>
        </w:rPr>
        <w:t xml:space="preserve">Ergebnis: </w:t>
      </w:r>
      <w:r>
        <w:t>57% der Schüler berichteten Reizbarkeit/schlechte Laune, 46,7% Nervosität; 66% hatten altersberechtigt normales BMI, aber 36% trieben keine regelmäßige körperliche Aktivität; hohes Bildschirmmediennutzung und Gewaltexposition in der Freizeit. Fokusgruppen nannten Prioritäten: Bewegung, Schulverpflegung, Koordination Schule-Familie-Gemeinde; kommunale Unterschiede bei Wahrnehmung von Schulessen, Sicherheit und Servicezugang bestanden fort.</w:t>
      </w:r>
    </w:p>
    <w:p>
      <w:r>
        <w:rPr>
          <w:b/>
          <w:sz w:val="19"/>
        </w:rPr>
        <w:t xml:space="preserve">Übertragbarkeit: </w:t>
      </w:r>
      <w:r>
        <w:rPr>
          <w:sz w:val="19"/>
        </w:rPr>
        <w:t>Portugal, vergleichbares EU-Gesundheitssystem; transferierbar für partizipative Prävention</w:t>
      </w:r>
    </w:p>
    <w:p>
      <w:r>
        <w:rPr>
          <w:color w:val="5A7D3A"/>
          <w:sz w:val="18"/>
        </w:rPr>
        <w:t>https://pubmed.ncbi.nlm.nih.gov/42889270/</w:t>
      </w:r>
    </w:p>
    <w:p>
      <w:pPr>
        <w:pStyle w:val="Heading2"/>
      </w:pPr>
      <w:r>
        <w:t>Regionale Unterschiede im Übergewicht bei saudi-arabischen Studierenden: Riad 4,6-fach höher als Makkah</w:t>
      </w:r>
    </w:p>
    <w:p>
      <w:r>
        <w:rPr>
          <w:i/>
          <w:color w:val="666666"/>
          <w:sz w:val="18"/>
        </w:rPr>
        <w:t>Alkhraiji MH et al.  ·  Front Public Health  ·  01.10.2026  ·  PMID 42889239</w:t>
      </w:r>
    </w:p>
    <w:p>
      <w:r>
        <w:t>Querschnittstudie (März–Mai 2023) mit 564 Studierenden aus vier saudi-arabischen Regionen; Erfassung von BMI, Bewegung (IPAQ-SF), Bildschirmzeit und Ernährung; Analyse regionaler Unterschiede und assoziierter Faktoren.</w:t>
      </w:r>
    </w:p>
    <w:p>
      <w:r>
        <w:rPr>
          <w:b/>
        </w:rPr>
        <w:t xml:space="preserve">Ergebnis: </w:t>
      </w:r>
      <w:r>
        <w:t>Übergewicht/Adipositasprävalenz 17,9% (konservative Unterschätzung durch Selbstangaben); markanter regionaler Gradient: Riad 27,8% vs. Makkah 8,8% (χ² = 25,48; p &lt; 0,001). Nach Adjustment war Region der stärkste Prädiktor (aOR Riad 4,62; 95% CI 2,23–9,59; p &lt; 0,001); männliches Geschlecht aOR 1,96 (p = 0,037). 82,3% der Studierenden zeigten moderate bis hohe Sitzbewegung (≥8 h/Tag); durchschnittliche Bildschirmnutzung 3,75 h/Tag.</w:t>
      </w:r>
    </w:p>
    <w:p>
      <w:r>
        <w:rPr>
          <w:b/>
          <w:sz w:val="19"/>
        </w:rPr>
        <w:t xml:space="preserve">Übertragbarkeit: </w:t>
      </w:r>
      <w:r>
        <w:rPr>
          <w:sz w:val="19"/>
        </w:rPr>
        <w:t>Saudi-Arabien, andere Versorgungsstruktur; zeigt Umweltfaktoren und regionale Ungleichheit auf</w:t>
      </w:r>
    </w:p>
    <w:p>
      <w:r>
        <w:rPr>
          <w:color w:val="5A7D3A"/>
          <w:sz w:val="18"/>
        </w:rPr>
        <w:t>https://pubmed.ncbi.nlm.nih.gov/42889239/</w:t>
      </w:r>
    </w:p>
    <w:p>
      <w:pPr>
        <w:pStyle w:val="Heading2"/>
      </w:pPr>
      <w:r>
        <w:t>MASLD in Kardio-Nieren-Metabolik-Staging reduziert Sterberisiko-Unterschätzung um bis zu 10% in Stufe 3</w:t>
      </w:r>
    </w:p>
    <w:p>
      <w:r>
        <w:rPr>
          <w:i/>
          <w:color w:val="666666"/>
          <w:sz w:val="18"/>
        </w:rPr>
        <w:t>Mostafa AM et al.  ·  Med Sci Monit  ·  17.10.2026  ·  PMID 42888835</w:t>
      </w:r>
    </w:p>
    <w:p>
      <w:r>
        <w:t>Sekundäranalyse NHANES III: 10.335 Erwachsene (20–74 Jahre) mit Mortalitäts-Follow-up bis 2019; Integration von MASLD in das CKM-Staging-Framework (ursprünglich kardiovaskulär-renal-metabolisch) zur Verbesserung der Mortalitätsstratifizierung.</w:t>
      </w:r>
    </w:p>
    <w:p>
      <w:r>
        <w:rPr>
          <w:b/>
        </w:rPr>
        <w:t xml:space="preserve">Ergebnis: </w:t>
      </w:r>
      <w:r>
        <w:t>Modifiziertes CKM-Staging zeigte überlegene Risikostratifizierung gegenüber Original-CKM, besonders in Stufe 3. Hazard Ratios für Gesamtmortalität: modifiziert 3,84 (95% CI 3,38–4,37) vs. Original 3,49 (95% CI 3,07–3,95); für kardiovaskuläre Mortalität: 6,38 (4,80–8,48) vs. 5,41 (4,12–7,12). Integration der Leber in das Kardio-Nieren-Metabolik-Achsenkonzept zeigte inkrementelle prognostische Verbesserung.</w:t>
      </w:r>
    </w:p>
    <w:p>
      <w:r>
        <w:rPr>
          <w:b/>
          <w:sz w:val="19"/>
        </w:rPr>
        <w:t xml:space="preserve">Übertragbarkeit: </w:t>
      </w:r>
      <w:r>
        <w:rPr>
          <w:sz w:val="19"/>
        </w:rPr>
        <w:t>USA-Daten (NHANES), aber Konzept der Mehrorgan-Stratifizierung auf europäische Versorgung übertragbar</w:t>
      </w:r>
    </w:p>
    <w:p>
      <w:r>
        <w:rPr>
          <w:color w:val="5A7D3A"/>
          <w:sz w:val="18"/>
        </w:rPr>
        <w:t>https://pubmed.ncbi.nlm.nih.gov/42888835/</w:t>
      </w:r>
    </w:p>
    <w:p>
      <w:pPr>
        <w:pStyle w:val="Heading2"/>
      </w:pPr>
      <w:r>
        <w:t>Nierenvolumen bezogen auf BMI verbessert Vorhersage der Transplantatfunktion im ersten Jahr</w:t>
      </w:r>
    </w:p>
    <w:p>
      <w:r>
        <w:rPr>
          <w:i/>
          <w:color w:val="666666"/>
          <w:sz w:val="18"/>
        </w:rPr>
        <w:t>Gianassi I et al.  ·  Clin Transplant  ·  Okt. 2026  ·  PMID 42886738</w:t>
      </w:r>
    </w:p>
    <w:p>
      <w:r>
        <w:t>Prospektive Einklinik-Studie: Ultraschallvolumung des Transplantats 1 Monat posttransplantation; Analyse, ob Differential-Nierenvolumen (DRV) indexiert zu Empfänger-BMI die eGFR nach einem Jahr voraussagt.</w:t>
      </w:r>
    </w:p>
    <w:p>
      <w:r>
        <w:rPr>
          <w:b/>
        </w:rPr>
        <w:t xml:space="preserve">Ergebnis: </w:t>
      </w:r>
      <w:r>
        <w:t>Nierenvolumparameter waren signifikant mit eGFR nach einem Jahr assoziiert; stärkere Assoziationen nach BMI-Normalisierung. DRV/BMI-Ratio zeigte stärkste Korrelation mit eGFR und blieb nach Adjustment unabhängig assoziiert. ROC-Analyse ergab AUC 0,774 für erhaltene Transplantatfunktion (Schwellenwert bedarf jedoch externe Validierung).</w:t>
      </w:r>
    </w:p>
    <w:p>
      <w:r>
        <w:rPr>
          <w:b/>
          <w:sz w:val="19"/>
        </w:rPr>
        <w:t xml:space="preserve">Übertragbarkeit: </w:t>
      </w:r>
      <w:r>
        <w:rPr>
          <w:sz w:val="19"/>
        </w:rPr>
        <w:t>Italien, strukturierte Transplantationsdokumentation; einfaches Screening-Werkzeug übertragbar</w:t>
      </w:r>
    </w:p>
    <w:p>
      <w:r>
        <w:rPr>
          <w:color w:val="5A7D3A"/>
          <w:sz w:val="18"/>
        </w:rPr>
        <w:t>https://pubmed.ncbi.nlm.nih.gov/42886738/</w:t>
      </w:r>
    </w:p>
    <w:p>
      <w:pPr>
        <w:pStyle w:val="Heading2"/>
      </w:pPr>
      <w:r>
        <w:t>Mikronährstoffverlauf nach Adipositaschirurgie: Kalzium sinkt, Nebenschilddrüse steigt über 10 Jahre</w:t>
      </w:r>
    </w:p>
    <w:p>
      <w:r>
        <w:rPr>
          <w:i/>
          <w:color w:val="666666"/>
          <w:sz w:val="18"/>
        </w:rPr>
        <w:t>Mitchell S et al.  ·  Nutrients  ·  03.10.2026  ·  PMID 42884716</w:t>
      </w:r>
    </w:p>
    <w:p>
      <w:r>
        <w:t>Einzentrum-Kohortenstudie (NHS Lothian, 2011–2025) mit 426 Patienten nach Sleeve (SG, 55,2%) oder Bypass (RYGB, 41,1%); 25 biochemische Marker über 10 Jahre erfasst; lineare mixed-effects Modelle mit Benjamini-Hochberg-Korrektur.</w:t>
      </w:r>
    </w:p>
    <w:p>
      <w:r>
        <w:rPr>
          <w:b/>
        </w:rPr>
        <w:t xml:space="preserve">Ergebnis: </w:t>
      </w:r>
      <w:r>
        <w:t>Mediane Gewichtsabnahme 21,6%, Exzessgewichtsverlust 49,2%. Kalzium fiel (p &lt; 0,001), PTH stieg (+0,22 pmol/L/Jahr; 95% CI 0,11–0,33; p &lt; 0,001) trotz Vitamin-D-Anstieg (+1,20 nmol/L/Jahr; p &lt; 0,001); erhöhte PTH in ~33% persistierend. Hämoglobin sank (-0,32 g/L/Jahr; p = 0,026), Unterversorgung von 26,3% auf 38,5%. B-Vitamine stiegen (p &lt; 0,001), Thiamin nicht; Selen, Zink fielen (p &lt; 0,05); Albumin sank (p &lt; 0,001). PTH-Anstieg steiler bei PPI-Gebrauch (p = 0,002) und BMI ≥50 kg/m² (p = 0,003).</w:t>
      </w:r>
    </w:p>
    <w:p>
      <w:r>
        <w:rPr>
          <w:b/>
          <w:sz w:val="19"/>
        </w:rPr>
        <w:t xml:space="preserve">Übertragbarkeit: </w:t>
      </w:r>
      <w:r>
        <w:rPr>
          <w:sz w:val="19"/>
        </w:rPr>
        <w:t>Schottland (UK), strukturierter Chirurgie-Service mit hoher Supplement-Compliance; Muster übertragbar</w:t>
      </w:r>
    </w:p>
    <w:p>
      <w:r>
        <w:rPr>
          <w:color w:val="5A7D3A"/>
          <w:sz w:val="18"/>
        </w:rPr>
        <w:t>https://pubmed.ncbi.nlm.nih.gov/42884716/</w:t>
      </w:r>
    </w:p>
    <w:p>
      <w:pPr>
        <w:pStyle w:val="Heading1"/>
      </w:pPr>
      <w:r>
        <w:t>Aufgenommen am 17.10.2026</w:t>
      </w:r>
    </w:p>
    <w:p>
      <w:pPr>
        <w:pStyle w:val="Heading2"/>
      </w:pPr>
      <w:r>
        <w:t>Körperliche Inaktivität und langes Sitzen erhöhen Sterblichkeitsrisiko bei kardiovaskulär-metabolischem Syndrom deutlich</w:t>
      </w:r>
    </w:p>
    <w:p>
      <w:r>
        <w:rPr>
          <w:i/>
          <w:color w:val="666666"/>
          <w:sz w:val="18"/>
        </w:rPr>
        <w:t>Huang Y et al.  ·  Clin Exp Med  ·  24.07.2026  ·  PMID 42886390</w:t>
      </w:r>
    </w:p>
    <w:p>
      <w:r>
        <w:t>Prospektive Kohortenstudie aus der US-amerikanischen NHANES-Datenbank (2007–2018) mit über 400.000 Teilnehmern; Untersuchung der unabhängigen und kombinierten Assoziationen von Freizeit-Bewegung und Sitzdauer mit Gesamt- und kardiovaskulärer Sterblichkeit bei Personen mit fortgeschrittenem kardiovaskulär-metabolischem Syndrom (CKM).</w:t>
      </w:r>
    </w:p>
    <w:p>
      <w:r>
        <w:rPr>
          <w:b/>
        </w:rPr>
        <w:t xml:space="preserve">Ergebnis: </w:t>
      </w:r>
      <w:r>
        <w:t>Körperliche Inaktivität war mit erhöhtem Risiko für Gesamtsterblichkeit (HR=2,43, 95%-KI: 1,98–2,97) und kardiovaskuläre Sterblichkeit (HR=2,62, 95%-KI: 1,79–3,82) assoziiert. Sitzdauer &gt;8 h/Tag gegenüber &lt;4 h/Tag zeigte erhöhte Risiken (Gesamtsterblichkeit: HR=1,71; kardiovaskulär: HR=2,12). Die höchsten Risiken traten bei Kombination von Inaktivität + ≥6 h/Tag Sitzen auf (Gesamtsterblichkeit: HR=2,77; kardiovaskulär: HR=3,39). Diese Studie unterstreicht den Überlebensvorteil durch gesteigerte körperliche Aktivität und reduzierte Sedentarität in dieser Hochrisikopopulation.</w:t>
      </w:r>
    </w:p>
    <w:p>
      <w:r>
        <w:rPr>
          <w:b/>
          <w:sz w:val="19"/>
        </w:rPr>
        <w:t xml:space="preserve">Übertragbarkeit: </w:t>
      </w:r>
      <w:r>
        <w:rPr>
          <w:sz w:val="19"/>
        </w:rPr>
        <w:t>USA-Daten, Bewegungsförderung als universelle Intervention unabhängig von Finanzierungssystem</w:t>
      </w:r>
    </w:p>
    <w:p>
      <w:r>
        <w:rPr>
          <w:color w:val="5A7D3A"/>
          <w:sz w:val="18"/>
        </w:rPr>
        <w:t>https://pubmed.ncbi.nlm.nih.gov/42886390/</w:t>
      </w:r>
    </w:p>
    <w:p>
      <w:pPr>
        <w:pStyle w:val="Heading2"/>
      </w:pPr>
      <w:r>
        <w:t>Bildschirmzeit begünstigt Adipositas bei Kindern und Jugendlichen mit geschlechtsspezifischen Mechanismen</w:t>
      </w:r>
    </w:p>
    <w:p>
      <w:r>
        <w:rPr>
          <w:i/>
          <w:color w:val="666666"/>
          <w:sz w:val="18"/>
        </w:rPr>
        <w:t>Min J et al.  ·  Prev Chronic Dis  ·  15.10.2026  ·  PMID 42886217</w:t>
      </w:r>
    </w:p>
    <w:p>
      <w:r>
        <w:t>Systematische Überprüfung von 22 Studien zur Assoziation zwischen Bildschirmzeit und Adipositäsergebnissen bei Kindern, Adoleszenten und jungen Erwachsenen; Meta-analytische Synthese mit Fokus auf geschlechtsspezifische Unterschiede in verhaltensabhängigen und physiologischen Pfaden.</w:t>
      </w:r>
    </w:p>
    <w:p>
      <w:r>
        <w:rPr>
          <w:b/>
        </w:rPr>
        <w:t xml:space="preserve">Ergebnis: </w:t>
      </w:r>
      <w:r>
        <w:t>18 der 22 Studien berichteten eine signifikante positive Assoziation zwischen Bildschirmzeit und Adipositas-bezogenen Ergebnissen. Bei Mädchen waren Assoziationen häufiger mit Adipositas, metabolisch ungesund adipös und psychologischen Faktoren (Körperbildsorgen) verknüpft; bei Jungen mit verhaltensbezogenen Faktoren (erhöhte Kalorienaufnahme, nächtliches Bildschirmnutzung, reduzierter Schlaf). Prävention sollte die zugrunde liegenden Mechanismen adressieren: körperliche Aktivität bei Mädchen, Problembewusstsein bei Jungen. Diese Erkenntnisse zeigen, dass simple Bildschirmzeitreduktion nicht ausreicht.</w:t>
      </w:r>
    </w:p>
    <w:p>
      <w:r>
        <w:rPr>
          <w:b/>
          <w:sz w:val="19"/>
        </w:rPr>
        <w:t xml:space="preserve">Übertragbarkeit: </w:t>
      </w:r>
      <w:r>
        <w:rPr>
          <w:sz w:val="19"/>
        </w:rPr>
        <w:t>Internationale Evidenz, universelle Verhältnisprävention, geschlechtsspezifische Anpassung</w:t>
      </w:r>
    </w:p>
    <w:p>
      <w:r>
        <w:rPr>
          <w:color w:val="5A7D3A"/>
          <w:sz w:val="18"/>
        </w:rPr>
        <w:t>https://pubmed.ncbi.nlm.nih.gov/42886217/</w:t>
      </w:r>
    </w:p>
    <w:p>
      <w:pPr>
        <w:pStyle w:val="Heading2"/>
      </w:pPr>
      <w:r>
        <w:t>Schlafstörungen und Übergewicht verknüpft mit sozialen und strukturellen Faktoren bei jungen Erwachsenen</w:t>
      </w:r>
    </w:p>
    <w:p>
      <w:r>
        <w:rPr>
          <w:i/>
          <w:color w:val="666666"/>
          <w:sz w:val="18"/>
        </w:rPr>
        <w:t>Moonajilin MS et al.  ·  Health Expect  ·  Okt. 2026  ·  PMID 42886171</w:t>
      </w:r>
    </w:p>
    <w:p>
      <w:r>
        <w:t>Qualitative Studie mit 26 jungen Erwachsenen (18–25 Jahre) in Dhaka, Bangladesch; semi-strukturierte Interviews mit inhaltsanalytischem Schwerpunkt auf die Verknüpfung von Schlafmangel, Ernährung und Körpergewicht im Kontext struktureller und soziokultureller Bedingungen.</w:t>
      </w:r>
    </w:p>
    <w:p>
      <w:r>
        <w:rPr>
          <w:b/>
        </w:rPr>
        <w:t xml:space="preserve">Ergebnis: </w:t>
      </w:r>
      <w:r>
        <w:t>Fünf zentrale Themen wurden identifiziert: (1) strukturelle und umweltbedingte Schlafstörungen, (2) digitale Nachtkultur und sozial verstärkte Wachheit, (3) Produktivität statt Schlaf als Priorität, (4) ungleiche Lasten durch Hausarbeit und Pflege, (5) wahrgenommene Verbindung zwischen unregelmäßigem Schlaf, Müdigkeit und Essverhalten. Schlaf- und Essgewohnheiten waren eingebettet in soziale, institutionelle und kulturelle Kontexte; Interventionen sollten Peer- und Familienpraktiken sowie Umweltfaktoren adressieren.</w:t>
      </w:r>
    </w:p>
    <w:p>
      <w:r>
        <w:rPr>
          <w:b/>
          <w:sz w:val="19"/>
        </w:rPr>
        <w:t xml:space="preserve">Übertragbarkeit: </w:t>
      </w:r>
      <w:r>
        <w:rPr>
          <w:sz w:val="19"/>
        </w:rPr>
        <w:t>Asiatischer Kontext mit soziostrukturellen Besonderheiten, qualitativ-explorativ</w:t>
      </w:r>
    </w:p>
    <w:p>
      <w:r>
        <w:rPr>
          <w:color w:val="5A7D3A"/>
          <w:sz w:val="18"/>
        </w:rPr>
        <w:t>https://pubmed.ncbi.nlm.nih.gov/42886171/</w:t>
      </w:r>
    </w:p>
    <w:p>
      <w:pPr>
        <w:pStyle w:val="Heading2"/>
      </w:pPr>
      <w:r>
        <w:t>Multidisziplinäres Adipositasprogramm verbesserte Patientenzufriedenheit und Lebensqualität</w:t>
      </w:r>
    </w:p>
    <w:p>
      <w:r>
        <w:rPr>
          <w:i/>
          <w:color w:val="666666"/>
          <w:sz w:val="18"/>
        </w:rPr>
        <w:t>Zugasti Murillo A et al.  ·  An Sist Sanit Navar  ·  16.10.2026  ·  PMID 42885860</w:t>
      </w:r>
    </w:p>
    <w:p>
      <w:r>
        <w:t>Evaluation eines 12-monatigen multidisziplinären Adipositasbehandlungsprogramms in Navarra (Spanien) mit 14–13 Patienten, die Patientenberichtete Ergebnisse (PROM) und Erfahrungen (PREM) beantworteten.</w:t>
      </w:r>
    </w:p>
    <w:p>
      <w:r>
        <w:rPr>
          <w:b/>
        </w:rPr>
        <w:t xml:space="preserve">Ergebnis: </w:t>
      </w:r>
      <w:r>
        <w:t>Alle drei PROM-Bereiche zeigten einen medianen Score von 3,50 (Skala 1–4). Bei den PREMs erreichte die Partizipation in Entscheidungsfindung den höchsten Median (5,00; IQR: 4,33–5,00), während Zugang und Organisation den niedrigsten Wert aufwiesen (4,00; IQR: 3,67–4,33). Die Ergebnisse zeigen Stärken und Verbesserungsbereiche im Versorgungsmodell; validierte Instrumente und längerfristige Verlaufsuntersuchungen sind erforderlich.</w:t>
      </w:r>
    </w:p>
    <w:p>
      <w:r>
        <w:rPr>
          <w:b/>
          <w:sz w:val="19"/>
        </w:rPr>
        <w:t xml:space="preserve">Übertragbarkeit: </w:t>
      </w:r>
      <w:r>
        <w:rPr>
          <w:sz w:val="19"/>
        </w:rPr>
        <w:t>Südeuropa mit vergleichbarem Sozialversicherungssystem, strukturiertes Programm-Setting</w:t>
      </w:r>
    </w:p>
    <w:p>
      <w:r>
        <w:rPr>
          <w:color w:val="5A7D3A"/>
          <w:sz w:val="18"/>
        </w:rPr>
        <w:t>https://pubmed.ncbi.nlm.nih.gov/42885860/</w:t>
      </w:r>
    </w:p>
    <w:p>
      <w:pPr>
        <w:pStyle w:val="Heading2"/>
      </w:pPr>
      <w:r>
        <w:t>Multidomain Lebensstiländerung senkte Körpergewicht bei älteren Erwachsenen nicht</w:t>
      </w:r>
    </w:p>
    <w:p>
      <w:r>
        <w:rPr>
          <w:i/>
          <w:color w:val="666666"/>
          <w:sz w:val="18"/>
        </w:rPr>
        <w:t>Zülke AE et al.  ·  BMC Geriatr  ·  15.10.2026  ·  PMID 42881367</w:t>
      </w:r>
    </w:p>
    <w:p>
      <w:r>
        <w:t>Post-hoc-Analyse der deutschen AgeWell.de-Studie mit 678 älteren Erwachsenen (60–77 Jahre, BMI ≥25), die 24 Monate eine multidimensionale Intervention (Ernährungsberatung, körperliche und kognitive Aktivität, kardiovaskuläre Risikofaktoren, psychische Gesundheit) oder Kontrolle erhielten.</w:t>
      </w:r>
    </w:p>
    <w:p>
      <w:r>
        <w:rPr>
          <w:b/>
        </w:rPr>
        <w:t xml:space="preserve">Ergebnis: </w:t>
      </w:r>
      <w:r>
        <w:t>Die Intervention war nicht mit einer Gewichtsabnahme nach 24 Monaten assoziiert (b=−0,30, 95%-KI: −0,51–1,11). Trotz hoher Motivation und Veränderungen in Ernährung und körperlicher Aktivität bei der Interventionsgruppe zeigten sich keine messbaren Gewichtsverluste. Dies deutet darauf hin, dass Verhaltensprogramme allein in dieser Altersgruppe ohne intensive pharmakologische Unterstützung nicht ausreichen.</w:t>
      </w:r>
    </w:p>
    <w:p>
      <w:r>
        <w:rPr>
          <w:b/>
          <w:sz w:val="19"/>
        </w:rPr>
        <w:t xml:space="preserve">Übertragbarkeit: </w:t>
      </w:r>
      <w:r>
        <w:rPr>
          <w:sz w:val="19"/>
        </w:rPr>
        <w:t>Deutsche Klinikdaten, direkter Versorgungsbezug, vergleichbare Dokumentationspflichten</w:t>
      </w:r>
    </w:p>
    <w:p>
      <w:r>
        <w:rPr>
          <w:color w:val="5A7D3A"/>
          <w:sz w:val="18"/>
        </w:rPr>
        <w:t>https://pubmed.ncbi.nlm.nih.gov/42881367/</w:t>
      </w:r>
    </w:p>
    <w:p>
      <w:pPr>
        <w:pStyle w:val="Heading2"/>
      </w:pPr>
      <w:r>
        <w:t>Herzfrequenzvariabilität erklärt teilweise Leberwertveränderungen bei Adipositas</w:t>
      </w:r>
    </w:p>
    <w:p>
      <w:r>
        <w:rPr>
          <w:i/>
          <w:color w:val="666666"/>
          <w:sz w:val="18"/>
        </w:rPr>
        <w:t>Gao L et al.  ·  Diabetes Obes Metab  ·  24.08.2026  ·  PMID 42638186</w:t>
      </w:r>
    </w:p>
    <w:p>
      <w:r>
        <w:t>Querschnittsstudie mit 432 Erwachsenen mit Übergewicht oder Adipositas und Validierung in 21.383 UK-Biobank-Teilnehmern; Untersuchung, inwieweit kardiale autonome Marker (Ruhehertzfrequenz, Herzfrequenzvariabilität) die Assoziation zwischen Adipositas und Leberwerterhöhung (ALT, AST, GGT) mediieren.</w:t>
      </w:r>
    </w:p>
    <w:p>
      <w:r>
        <w:rPr>
          <w:b/>
        </w:rPr>
        <w:t xml:space="preserve">Ergebnis: </w:t>
      </w:r>
      <w:r>
        <w:t>Höherer BMI und Taillen-Größen-Ratio waren mit erhöhten Leberwerten und höherer Ruhehertzfrequenz sowie niedrigerer Herzfrequenzvariabilität assoziiert. Ruhehertzfrequenz war der konsistenteste kardiale Mediator und erklärte 16,6–27,5 % der BMI-Assoziationen mit Leberwerten und 17,8–36,9 % der Taillen-Größen-Ratio-Assoziationen. Die Wirkungen blieben nach Einschluss von HOMA-IR statistisch signifikant, besonders für ALT. In UK Biobank erklärte Pulsfrequenz 5,83–9,47 % der Assoziationen.</w:t>
      </w:r>
    </w:p>
    <w:p>
      <w:r>
        <w:rPr>
          <w:b/>
          <w:sz w:val="19"/>
        </w:rPr>
        <w:t xml:space="preserve">Übertragbarkeit: </w:t>
      </w:r>
      <w:r>
        <w:rPr>
          <w:sz w:val="19"/>
        </w:rPr>
        <w:t>UK Biobank plus klinische Kohortendaten, vergleichbare cardiometabolische Risikomodelle</w:t>
      </w:r>
    </w:p>
    <w:p>
      <w:r>
        <w:rPr>
          <w:color w:val="5A7D3A"/>
          <w:sz w:val="18"/>
        </w:rPr>
        <w:t>https://pubmed.ncbi.nlm.nih.gov/42638186/</w:t>
      </w:r>
    </w:p>
    <w:p>
      <w:pPr>
        <w:pStyle w:val="Heading1"/>
      </w:pPr>
      <w:r>
        <w:t>Aufgenommen am 16.10.2026</w:t>
      </w:r>
    </w:p>
    <w:p>
      <w:pPr>
        <w:pStyle w:val="Heading2"/>
      </w:pPr>
      <w:r>
        <w:t>Sarkopenie plus Adipositas verdoppelte Funktionsbehinderungen bei älteren Brasilianern</w:t>
      </w:r>
    </w:p>
    <w:p>
      <w:r>
        <w:rPr>
          <w:i/>
          <w:color w:val="666666"/>
          <w:sz w:val="18"/>
        </w:rPr>
        <w:t>Danielewicz AL et al.  ·  Cien Saude Colet  ·  09.10.2026  ·  PMID 42879635</w:t>
      </w:r>
    </w:p>
    <w:p>
      <w:r>
        <w:t>Querschnittstudie der Brazilian Longitudinal Study of Aging (6.874 ältere Erwachsene ≥ 60 Jahre, 2019–2021); Assoziationen zwischen isolierter Sarkopenie und Kombination mit allgemeiner oder abdominaler Adipositas (nach SDOC-Kriterien: niedrige Gehgeschwindigkeit + geringe Handkraft) und Einschränkungen in Alltags- und instrumentellen Aktivitäten wurden geschlechtsstratifiziert analysiert.</w:t>
      </w:r>
    </w:p>
    <w:p>
      <w:r>
        <w:rPr>
          <w:b/>
        </w:rPr>
        <w:t xml:space="preserve">Ergebnis: </w:t>
      </w:r>
      <w:r>
        <w:t>Frauen mit Sarkopenie + allgemeiner Adipositas: OR 3,37 (95 % CI 1,47–7,71) für Alltags-Einschränkungen; mit abdominaler Adipositas: OR 2,59 (95 % CI 1,16–5,76). Sarkopenie allein erhöhte Instrumental-Aktivitäts-Einschränkungen bei Frauen (OR 2,08; 95 % CI 1,59–2,71) und Männern (OR 2,49; 95 % CI 1,67–3,73). Kombinierte Sarkopenie-Adipositas zeigte konsistent erhöhte Odds über Geschlecht hinweg.</w:t>
      </w:r>
    </w:p>
    <w:p>
      <w:r>
        <w:rPr>
          <w:b/>
          <w:sz w:val="19"/>
        </w:rPr>
        <w:t xml:space="preserve">Übertragbarkeit: </w:t>
      </w:r>
      <w:r>
        <w:rPr>
          <w:sz w:val="19"/>
        </w:rPr>
        <w:t>Brasilien; entwickeltes Land, aber andere Sozialversicherung; Phänomen der adipösen Sarkopenie übertragbar</w:t>
      </w:r>
    </w:p>
    <w:p>
      <w:r>
        <w:rPr>
          <w:color w:val="5A7D3A"/>
          <w:sz w:val="18"/>
        </w:rPr>
        <w:t>https://pubmed.ncbi.nlm.nih.gov/42879635/</w:t>
      </w:r>
    </w:p>
    <w:p>
      <w:pPr>
        <w:pStyle w:val="Heading2"/>
      </w:pPr>
      <w:r>
        <w:t>Ultraprozessierte Nahrung assoziiert mit Hirnverletzungen und erhöhtem Adipositasrisiko</w:t>
      </w:r>
    </w:p>
    <w:p>
      <w:r>
        <w:rPr>
          <w:i/>
          <w:color w:val="666666"/>
          <w:sz w:val="18"/>
        </w:rPr>
        <w:t>de Souza RJ et al.  ·  JAMA Netw Open  ·  01.10.2026  ·  PMID 42879154</w:t>
      </w:r>
    </w:p>
    <w:p>
      <w:r>
        <w:t>Querschnittstudie von 8.783 kanadischen Erwachsenen mittleren Alters ohne kardiovaskuläre Erkrankung; Assoziationen zwischen Aufnahme ultraprozessierter Lebensmittel (UPF), gemessen mit Ernährungsfragebögen, und Körperfettanteil, viszerales Fett, Hirnverletzungen sowie kognitives Testergebnis wurden analysiert.</w:t>
      </w:r>
    </w:p>
    <w:p>
      <w:r>
        <w:rPr>
          <w:b/>
        </w:rPr>
        <w:t xml:space="preserve">Ergebnis: </w:t>
      </w:r>
      <w:r>
        <w:t>Höchste UPF-Quartile gegenüber niedrigster: Körperfettanteil um 1,7 Prozentpunkte höher, viszerales Fett um 5,7 mL größer. Erhöhte Odds für Hirnverletzungen (aOR 1,40; 95 % CI 1,10–1,77; p = 0,009). Keine signifikanten Assoziationen mit kognitiven Tests. Erkenntnisse zur Hirnverletzung waren sensibel gegenüber Expositionsdefinition.</w:t>
      </w:r>
    </w:p>
    <w:p>
      <w:r>
        <w:rPr>
          <w:b/>
          <w:sz w:val="19"/>
        </w:rPr>
        <w:t xml:space="preserve">Übertragbarkeit: </w:t>
      </w:r>
      <w:r>
        <w:rPr>
          <w:sz w:val="19"/>
        </w:rPr>
        <w:t>Kanada; vergleichbare Ernährungsmuster, Sozialversicherung ähnlich</w:t>
      </w:r>
    </w:p>
    <w:p>
      <w:r>
        <w:rPr>
          <w:color w:val="5A7D3A"/>
          <w:sz w:val="18"/>
        </w:rPr>
        <w:t>https://pubmed.ncbi.nlm.nih.gov/42879154/</w:t>
      </w:r>
    </w:p>
    <w:p>
      <w:pPr>
        <w:pStyle w:val="Heading2"/>
      </w:pPr>
      <w:r>
        <w:t>Qualitätsprogramm erhöhte ärztliches Vertrauen in evidenzbasierte Adipositas-Versorgung</w:t>
      </w:r>
    </w:p>
    <w:p>
      <w:r>
        <w:rPr>
          <w:i/>
          <w:color w:val="666666"/>
          <w:sz w:val="18"/>
        </w:rPr>
        <w:t>Bodrick NI et al.  ·  Am J Health Promot  ·  16.01.2026  ·  PMID 42876243</w:t>
      </w:r>
    </w:p>
    <w:p>
      <w:r>
        <w:t>Qualitätsverbesserungsprogramm in zwei US-amerikanischen Primarversorgungszentren zur Umsetzung evidenzbasierter Adipositas-Behandlung; Evaluiert wurden Wissensgewinne und Selbstsicherheit der Ärzte sowie wahrgenommene Verbesserungen durch Fragebogen und Interviews.</w:t>
      </w:r>
    </w:p>
    <w:p>
      <w:r>
        <w:rPr>
          <w:b/>
        </w:rPr>
        <w:t xml:space="preserve">Ergebnis: </w:t>
      </w:r>
      <w:r>
        <w:t>33 % der 42 angesprochenen Kliniker (14 Ärzte) vollendeten beide Befragungen. Die klinische Selbstsicherheit in Diagnose und Management der Adipositas stieg signifikant (χ² = 12,0, p = 0,0005). Qualitativ wurden drei zentrale Themen identifiziert: Verbesserung des Adipositas-Managements, Barrieren in der Versorgung und gesteigertes Bewusstsein für Gewichtsstigma. Das Programm reduzierte die Schere zwischen Evidenz und Praxis.</w:t>
      </w:r>
    </w:p>
    <w:p>
      <w:r>
        <w:rPr>
          <w:b/>
          <w:sz w:val="19"/>
        </w:rPr>
        <w:t xml:space="preserve">Übertragbarkeit: </w:t>
      </w:r>
      <w:r>
        <w:rPr>
          <w:sz w:val="19"/>
        </w:rPr>
        <w:t>USA; Ansatz zur Stärkung evidenzbasierter Praxis teilweise auf Deutschland übertragbar</w:t>
      </w:r>
    </w:p>
    <w:p>
      <w:r>
        <w:rPr>
          <w:color w:val="5A7D3A"/>
          <w:sz w:val="18"/>
        </w:rPr>
        <w:t>https://pubmed.ncbi.nlm.nih.gov/42876243/</w:t>
      </w:r>
    </w:p>
    <w:p>
      <w:pPr>
        <w:pStyle w:val="Heading2"/>
      </w:pPr>
      <w:r>
        <w:t>GLP-1-Agonisten reduzierten psychiatrische Krankenhausaufnahmen bei Schizophrenie</w:t>
      </w:r>
    </w:p>
    <w:p>
      <w:r>
        <w:rPr>
          <w:i/>
          <w:color w:val="666666"/>
          <w:sz w:val="18"/>
        </w:rPr>
        <w:t>Davoodian N et al.  ·  Lancet Psychiatry  ·  Nov. 2026  ·  PMID 42874603</w:t>
      </w:r>
    </w:p>
    <w:p>
      <w:r>
        <w:t>Beobachtungskohortenstudie mit Daten aus elektronischen Gesundheitsregistern; 70.257 US-Erwachsene mit dokumentierter Schizophrenie und Typ-2-Diabetes wurden nach Einleitung von GLP-1-Agonisten, DPP-4-Inhibitoren, SGLT2-Inhibitoren oder Nichtinitiation verglichen hinsichtlich psychiatrischer Krankenhausaufnahmen und Notaufnahmebesuche.</w:t>
      </w:r>
    </w:p>
    <w:p>
      <w:r>
        <w:rPr>
          <w:b/>
        </w:rPr>
        <w:t xml:space="preserve">Ergebnis: </w:t>
      </w:r>
      <w:r>
        <w:t>Unter 70.257 Patienten (Alter 53,1 Jahre; 48,2 % Frauen) initierten 12,9 % GLP-1-Agonisten. GLP-1-Initiierung war assoziiert mit niedrigerem Risiko psychiatrischer Krankenhausaufnahmen gegenüber Nichtinitiation (HR 0,76; 95 % CI 0,71–0,82), DPP-4-Inhibitoren (HR 0,82; 95 % CI 0,75–0,90) und SGLT2-Inhibitoren (HR 0,83; 95 % CI 0,78–0,88). Notaufnahmebesuche: HR 0,71 (95 % CI 0,65–0,77) vs. Nichtinitiation. Residuale Konfundierung und Selektionsbias möglich.</w:t>
      </w:r>
    </w:p>
    <w:p>
      <w:r>
        <w:rPr>
          <w:b/>
          <w:sz w:val="19"/>
        </w:rPr>
        <w:t xml:space="preserve">Übertragbarkeit: </w:t>
      </w:r>
      <w:r>
        <w:rPr>
          <w:sz w:val="19"/>
        </w:rPr>
        <w:t>USA; Kostentragung für GLP-1 völlig anders; Psychiatrie-Outcome nicht primärer Adipositas-Endpunkt</w:t>
      </w:r>
    </w:p>
    <w:p>
      <w:r>
        <w:rPr>
          <w:color w:val="5A7D3A"/>
          <w:sz w:val="18"/>
        </w:rPr>
        <w:t>https://pubmed.ncbi.nlm.nih.gov/42874603/</w:t>
      </w:r>
    </w:p>
    <w:p>
      <w:pPr>
        <w:pStyle w:val="Heading2"/>
      </w:pPr>
      <w:r>
        <w:t>Patientenpräferenzen bei Antidiabetika: Wirksamkeit und Handhabung vor Gewichtsverlust</w:t>
      </w:r>
    </w:p>
    <w:p>
      <w:r>
        <w:rPr>
          <w:i/>
          <w:color w:val="666666"/>
          <w:sz w:val="18"/>
        </w:rPr>
        <w:t>González-Cruz DC et al.  ·  BMJ Med  ·  08.10.2026  ·  PMID 42866418</w:t>
      </w:r>
    </w:p>
    <w:p>
      <w:r>
        <w:t>Systematischer Review von 34 Studien (15.656 Patienten) zu Werten, Präferenzen und wahrgenommener Behandlungslast bei Erwachsenen mit Typ-2-Diabetes bezüglich GLP-1-Agonisten, SGLT2-Inhibitoren, Tirzepatid oder Finerenon; 17 Studien waren neu seit 2021.</w:t>
      </w:r>
    </w:p>
    <w:p>
      <w:r>
        <w:rPr>
          <w:b/>
        </w:rPr>
        <w:t xml:space="preserve">Ergebnis: </w:t>
      </w:r>
      <w:r>
        <w:t>Patienten priorisieren durchgängig glykämische Wirksamkeit, kardiovaskuläres Risikoreduktion und Einfachheit der Anwendung. Orale Einmal-täglich-Regime und wöchentliche Injectable mit benutzerfreundlichen Geräten bevorzugt. Gewichtsverlust wird geschätzt, ist aber typischerweise sekundär gegenüber glykämischen und kardiovaskulären Vorteilen. Keine klare Präferenz zwischen SGLT2i und GLP-1RA; für Finerenon keine Daten. Evidenzsicherheit niedrig bis sehr niedrig.</w:t>
      </w:r>
    </w:p>
    <w:p>
      <w:r>
        <w:rPr>
          <w:b/>
          <w:sz w:val="19"/>
        </w:rPr>
        <w:t xml:space="preserve">Übertragbarkeit: </w:t>
      </w:r>
      <w:r>
        <w:rPr>
          <w:sz w:val="19"/>
        </w:rPr>
        <w:t>Internationale Evidenz; Patientenpräferenzen prinzipiell länderübergreifend, aber Kostenerstattung (§ 34 SGB V) in Deutschland ausschlaggebend</w:t>
      </w:r>
    </w:p>
    <w:p>
      <w:r>
        <w:rPr>
          <w:color w:val="5A7D3A"/>
          <w:sz w:val="18"/>
        </w:rPr>
        <w:t>https://pubmed.ncbi.nlm.nih.gov/42866418/</w:t>
      </w:r>
    </w:p>
    <w:p>
      <w:pPr>
        <w:pStyle w:val="Heading2"/>
      </w:pPr>
      <w:r>
        <w:t>Langzeit-GLP-1-Therapie bei Adipositas: italienisches Expertenpaneel empfiehlt multimodale Strategie</w:t>
      </w:r>
    </w:p>
    <w:p>
      <w:r>
        <w:rPr>
          <w:i/>
          <w:color w:val="666666"/>
          <w:sz w:val="18"/>
        </w:rPr>
        <w:t>Brancato D et al.  ·  Front Endocrinol (Lausanne)  ·  28.09.2026  ·  PMID 42865447</w:t>
      </w:r>
    </w:p>
    <w:p>
      <w:r>
        <w:t>Expertengruppe italienischer Kliniker mit Spezialisierung auf Adipositas und Stoffwechselerkrankungen entwickelte praktische Empfehlungen für nachhaltige Langzeitbehandlung mit GLP-1-Agonisten auf Basis von Literaturanalyse und klinischer Erfahrung.</w:t>
      </w:r>
    </w:p>
    <w:p>
      <w:r>
        <w:rPr>
          <w:b/>
        </w:rPr>
        <w:t xml:space="preserve">Ergebnis: </w:t>
      </w:r>
      <w:r>
        <w:t>Schlüsselempfehlungen: (1) Adipositas als chronische Erkrankung mit Rückfallneigung anerkennen; (2) umfassende Baseline-Phänotypisierung und Treat-to-Benefit-Ansatz statt nur Gewichtsverlust; (3) Erhaltungstherapie nach Erreichen von Zielen, flexible Dosisanpassung, frühzeitige Rückfallzeichen; (4) Integration in multimodale Versorgung (Ernährung, Bewegung, Verhalten); (5) proaktives Nebenwirkungsmanagement und Patientenedukation für Adhärenz; (6) adressiere ökonomische Hürden für Nachhaltigkeit.</w:t>
      </w:r>
    </w:p>
    <w:p>
      <w:r>
        <w:rPr>
          <w:b/>
          <w:sz w:val="19"/>
        </w:rPr>
        <w:t xml:space="preserve">Übertragbarkeit: </w:t>
      </w:r>
      <w:r>
        <w:rPr>
          <w:sz w:val="19"/>
        </w:rPr>
        <w:t>Italien; ähnliches Gesundheitssystem, aber Kostenerstattung GLP-1 in Deutschland § 34 SGB V ausgeschlossen</w:t>
      </w:r>
    </w:p>
    <w:p>
      <w:r>
        <w:rPr>
          <w:color w:val="5A7D3A"/>
          <w:sz w:val="18"/>
        </w:rPr>
        <w:t>https://pubmed.ncbi.nlm.nih.gov/42865447/</w:t>
      </w:r>
    </w:p>
    <w:p>
      <w:pPr>
        <w:pStyle w:val="Heading1"/>
      </w:pPr>
      <w:r>
        <w:t>Aufgenommen am 15.10.2026</w:t>
      </w:r>
    </w:p>
    <w:p>
      <w:pPr>
        <w:pStyle w:val="Heading2"/>
      </w:pPr>
      <w:r>
        <w:t>Antipsychotika: Blutzucker und Gewicht stiegen in ersten 90 Tagen deutlich an</w:t>
      </w:r>
    </w:p>
    <w:p>
      <w:r>
        <w:rPr>
          <w:i/>
          <w:color w:val="666666"/>
          <w:sz w:val="18"/>
        </w:rPr>
        <w:t>Bazo-Alvarez JC et al.  ·  Lancet Psychiatry  ·  Nov. 2026  ·  PMID 42874604</w:t>
      </w:r>
    </w:p>
    <w:p>
      <w:r>
        <w:t>Englische Registerdaten zu 53.558 Patienten mit schwerer psychischer Erkrankung zeigten, wie sich HbA1c und Körpergewicht nach Beginn einer Antipsychotika-Behandlung veränderten.</w:t>
      </w:r>
    </w:p>
    <w:p>
      <w:r>
        <w:rPr>
          <w:b/>
        </w:rPr>
        <w:t xml:space="preserve">Ergebnis: </w:t>
      </w:r>
      <w:r>
        <w:t>In den ersten 90 Tagen nach Behandlungsbeginn stiegen HbA1c um 0,12 mmol/mol pro Woche und Gewicht um 0,21 kg pro Woche an – deutlich rascher als in der Vorbehandlungsphase (HbA1c 0,01; Gewicht 0,02 kg/Woche). Nach Tag 91 normalisierten sich die Raten wieder. Bei Patienten mit Prädiabetes entwickelten 13,7 % innerhalb von 2 Jahren Typ-2-Diabetes. Olanzapin zeigte die stärksten Effekte, Frauen waren stärker betroffen als Männer.</w:t>
      </w:r>
    </w:p>
    <w:p>
      <w:r>
        <w:rPr>
          <w:b/>
          <w:sz w:val="19"/>
        </w:rPr>
        <w:t xml:space="preserve">Übertragbarkeit: </w:t>
      </w:r>
      <w:r>
        <w:rPr>
          <w:sz w:val="19"/>
        </w:rPr>
        <w:t>England, elektronische Gesundheitsakten; vergleichbar mit strukturierten deutschen Dokumentationssystemen</w:t>
      </w:r>
    </w:p>
    <w:p>
      <w:r>
        <w:rPr>
          <w:color w:val="5A7D3A"/>
          <w:sz w:val="18"/>
        </w:rPr>
        <w:t>https://pubmed.ncbi.nlm.nih.gov/42874604/</w:t>
      </w:r>
    </w:p>
    <w:p>
      <w:pPr>
        <w:pStyle w:val="Heading2"/>
      </w:pPr>
      <w:r>
        <w:t>Telemedizin für PMOS: Gewicht −4,9 %, HOMA-IR −14 %, unabhängig von GLP-1</w:t>
      </w:r>
    </w:p>
    <w:p>
      <w:r>
        <w:rPr>
          <w:i/>
          <w:color w:val="666666"/>
          <w:sz w:val="18"/>
        </w:rPr>
        <w:t>Huddleston HG et al.  ·  Endocrinol Diabetes Metab  ·  Nov. 2026  ·  PMID 42872607</w:t>
      </w:r>
    </w:p>
    <w:p>
      <w:r>
        <w:t>US-amerikanische Realweltanalyse von 919 Frauen mit BMI ≥25, davon 557 mit PMOS (ehemals PCOS), in Telehealth-Versorgung mit Arzt und Diätassistentin über mindestens 6 Monate Nachverfolgung.</w:t>
      </w:r>
    </w:p>
    <w:p>
      <w:r>
        <w:rPr>
          <w:b/>
        </w:rPr>
        <w:t xml:space="preserve">Ergebnis: </w:t>
      </w:r>
      <w:r>
        <w:t>Signifikante Verbesserungen über die gesamte Kohorte: Gewicht −4,9 %, HOMA-IR −14,0 %, Nüchterninsulin −15,6 %, Nüchternglukose −13,0 %, HbA1c −6,2 %, ALT −21,2 %, AST −25,5 %, Gesamtcholesterin −8,0 %. PCOS-Status war nicht mit unterschiedlichen Verbesserungen assoziiert. GLP-1-Rezeptoragonisten wurden assoziiert mit größerem Gewichtsverlust, aber auch ohne Medikation traten Verbesserungen auf.</w:t>
      </w:r>
    </w:p>
    <w:p>
      <w:r>
        <w:rPr>
          <w:b/>
          <w:sz w:val="19"/>
        </w:rPr>
        <w:t xml:space="preserve">Übertragbarkeit: </w:t>
      </w:r>
      <w:r>
        <w:rPr>
          <w:sz w:val="19"/>
        </w:rPr>
        <w:t>USA, elektronische Gesundheitsakten; Ergebnis für Telehealth-Modelle relevant, Arzneimittelverfügbarkeit in Deutschland anders</w:t>
      </w:r>
    </w:p>
    <w:p>
      <w:r>
        <w:rPr>
          <w:color w:val="5A7D3A"/>
          <w:sz w:val="18"/>
        </w:rPr>
        <w:t>https://pubmed.ncbi.nlm.nih.gov/42872607/</w:t>
      </w:r>
    </w:p>
    <w:p>
      <w:pPr>
        <w:pStyle w:val="Heading2"/>
      </w:pPr>
      <w:r>
        <w:t>Türkei: Adipositas verursacht 31 % der Diabetes- und 26 % der Herzkrankheitslast</w:t>
      </w:r>
    </w:p>
    <w:p>
      <w:r>
        <w:rPr>
          <w:i/>
          <w:color w:val="666666"/>
          <w:sz w:val="18"/>
        </w:rPr>
        <w:t>Ersoy Şen B et al.  ·  Front Public Health  ·  29.09.2026  ·  PMID 42871398</w:t>
      </w:r>
    </w:p>
    <w:p>
      <w:r>
        <w:t>Türkische Felderhebung an 22.667 Erwachsenen quantifizierte, wie viel der Krankheitslast bei Diabetes, Hypertonie und Herzkrankheit statistisch auf Adipositas zurückzuführen ist.</w:t>
      </w:r>
    </w:p>
    <w:p>
      <w:r>
        <w:rPr>
          <w:b/>
        </w:rPr>
        <w:t xml:space="preserve">Ergebnis: </w:t>
      </w:r>
      <w:r>
        <w:t>Adipositasprävalenz: 29,9 % (Frauen 35,7 %, Männer 23,9 %). Adipositas war assoziiert mit Diabetes (aOR 2,88, p&lt;0,001), Hypertonie (aOR 2,50) und Herzkrankheit (aOR 2,29). Die populationsattribuierbaren Fraktionen betrugen 31,5 % für Diabetes mellitus, 25,8 % für Hypertonie und 26,1 % für Herzkrankheit. Das Alter modifizierte diese Assoziationen signifikant, nicht aber das Geschlecht.</w:t>
      </w:r>
    </w:p>
    <w:p>
      <w:r>
        <w:rPr>
          <w:b/>
          <w:sz w:val="19"/>
        </w:rPr>
        <w:t xml:space="preserve">Übertragbarkeit: </w:t>
      </w:r>
      <w:r>
        <w:rPr>
          <w:sz w:val="19"/>
        </w:rPr>
        <w:t>Türkei, Bevölkerungsquerschnitt; Zeigt Krankheitslast in Ländern mit ähnlichem Gesundheitssystem</w:t>
      </w:r>
    </w:p>
    <w:p>
      <w:r>
        <w:rPr>
          <w:color w:val="5A7D3A"/>
          <w:sz w:val="18"/>
        </w:rPr>
        <w:t>https://pubmed.ncbi.nlm.nih.gov/42871398/</w:t>
      </w:r>
    </w:p>
    <w:p>
      <w:pPr>
        <w:pStyle w:val="Heading2"/>
      </w:pPr>
      <w:r>
        <w:t>Dynapene Adipositas bei älteren Hypertoniepatienten: 41 % höheres Kognitionsrisiko</w:t>
      </w:r>
    </w:p>
    <w:p>
      <w:r>
        <w:rPr>
          <w:i/>
          <w:color w:val="666666"/>
          <w:sz w:val="18"/>
        </w:rPr>
        <w:t>An P et al.  ·  Front Public Health  ·  29.09.2026  ·  PMID 42871064</w:t>
      </w:r>
    </w:p>
    <w:p>
      <w:r>
        <w:t>Chinesische Querschnittsstudie an 9.568 älteren Hypertoniepatienten untersuchte, ob Adipositas ohne ausreichende Muskelmasse (dynapene Adipositas) mit kognitiver Beeinträchtigung verbunden ist.</w:t>
      </w:r>
    </w:p>
    <w:p>
      <w:r>
        <w:rPr>
          <w:b/>
        </w:rPr>
        <w:t xml:space="preserve">Ergebnis: </w:t>
      </w:r>
      <w:r>
        <w:t>Dynapene Adipositas war mit kognitiver Störung assoziiert (aOR 1,418, 95%-KI 1,263–1,591). Die Assoziation verlief über verringerte körperliche Aktivität (aOR 0,708), die mit niedrigerem Depressions- und Kognitionsrisiko verbunden war. Depressive Störungen selbst erhöhten das Kognitionsrisiko um 31 % (aOR 1,312). Befunde waren über Altersgruppen konsistent.</w:t>
      </w:r>
    </w:p>
    <w:p>
      <w:r>
        <w:rPr>
          <w:b/>
          <w:sz w:val="19"/>
        </w:rPr>
        <w:t xml:space="preserve">Übertragbarkeit: </w:t>
      </w:r>
      <w:r>
        <w:rPr>
          <w:sz w:val="19"/>
        </w:rPr>
        <w:t>China, klinische Querschnittsdaten; zeigt Pathomechanismus unabhängig vom BMI allein</w:t>
      </w:r>
    </w:p>
    <w:p>
      <w:r>
        <w:rPr>
          <w:color w:val="5A7D3A"/>
          <w:sz w:val="18"/>
        </w:rPr>
        <w:t>https://pubmed.ncbi.nlm.nih.gov/42871064/</w:t>
      </w:r>
    </w:p>
    <w:p>
      <w:pPr>
        <w:pStyle w:val="Heading2"/>
      </w:pPr>
      <w:r>
        <w:t>Ultraprozessierte Lebensmittel: 45 % der Erwachsenenernährung, schwache Assoziationen mit Übergewicht</w:t>
      </w:r>
    </w:p>
    <w:p>
      <w:r>
        <w:rPr>
          <w:i/>
          <w:color w:val="666666"/>
          <w:sz w:val="18"/>
        </w:rPr>
        <w:t>Sällström T et al.  ·  Nutr J  ·  13.10.2026  ·  PMID 42870269</w:t>
      </w:r>
    </w:p>
    <w:p>
      <w:r>
        <w:t>Schwedische Ernährungserhebungen untersuchten den Anteil ultraprozessierter Lebensmittel in der Gesamtenergieaufnahme und dessen Zusammenhang mit Ernährungsqualität und BMI.</w:t>
      </w:r>
    </w:p>
    <w:p>
      <w:r>
        <w:rPr>
          <w:b/>
        </w:rPr>
        <w:t xml:space="preserve">Ergebnis: </w:t>
      </w:r>
      <w:r>
        <w:t>Ultraprozessierte Lebensmittel machten 45 % der Energieaufnahme bei Erwachsenen, 52 % bei Jugendlichen und 46 % bei Kleinkindern aus. Bei Erwachsenen war jede zusätzliche 10-%-Energieeinheit ultraprozessierter Lebensmittel mit 0,61 % höherem BMI verbunden (p=0,036); die Übergewichtsquote war im höchsten vs. niedrigsten Tertil um 16 % erhöht (p=0,018). Bei Jugendlichen und Kleinkindern zeigten sich keine signifikanten BMI-Assoziationen.</w:t>
      </w:r>
    </w:p>
    <w:p>
      <w:r>
        <w:rPr>
          <w:b/>
          <w:sz w:val="19"/>
        </w:rPr>
        <w:t xml:space="preserve">Übertragbarkeit: </w:t>
      </w:r>
      <w:r>
        <w:rPr>
          <w:sz w:val="19"/>
        </w:rPr>
        <w:t>Schweden, nationale Querschnittsdaten; vergleichbares Lebensmittelsystem</w:t>
      </w:r>
    </w:p>
    <w:p>
      <w:r>
        <w:rPr>
          <w:color w:val="5A7D3A"/>
          <w:sz w:val="18"/>
        </w:rPr>
        <w:t>https://pubmed.ncbi.nlm.nih.gov/42870269/</w:t>
      </w:r>
    </w:p>
    <w:p>
      <w:pPr>
        <w:pStyle w:val="Heading2"/>
      </w:pPr>
      <w:r>
        <w:t>Nach Magenbypass: Schilddrüsenhormone mussten erhöht werden, Mikrobiom veränderte sich</w:t>
      </w:r>
    </w:p>
    <w:p>
      <w:r>
        <w:rPr>
          <w:i/>
          <w:color w:val="666666"/>
          <w:sz w:val="18"/>
        </w:rPr>
        <w:t>El-Sehrawy AAMA et al.  ·  BMC Endocr Disord  ·  12.10.2026  ·  PMID 42870254</w:t>
      </w:r>
    </w:p>
    <w:p>
      <w:r>
        <w:t>Ägyptische prospektive Kohortenstudie an 79 hypothyreoten Patienten verfolgten Veränderungen in Schilddrüsenstoffwechsel, Levothyroxin-Anforderungen und Darmmikrobiom nach Roux-en-Y-Bypass oder Sleeve-Gastrektomie über 6 Monate.</w:t>
      </w:r>
    </w:p>
    <w:p>
      <w:r>
        <w:rPr>
          <w:b/>
        </w:rPr>
        <w:t xml:space="preserve">Ergebnis: </w:t>
      </w:r>
      <w:r>
        <w:t>Nach 6 Monaten: BMI sank von 44,5 auf 32,1 kg/m² (RYGB) bzw. 42,9 auf 33,0 (SG; beide p&lt;0,001). Levothyroxin-Anforderungen stiegen signifikant: RYGB von 137,5 auf 158,2 µg/Tag (p=0,018), SG von 133,3 auf 144,8 µg/Tag (p=0,067). FT4-AUC₀₋₆h stieg nach der Operation an (RYGB +330, p=0,003). Shannon-Diversität und Akkermansia muciniphila nahmen zu, besonders bei RYGB (p&lt;0,001).</w:t>
      </w:r>
    </w:p>
    <w:p>
      <w:r>
        <w:rPr>
          <w:b/>
          <w:sz w:val="19"/>
        </w:rPr>
        <w:t xml:space="preserve">Übertragbarkeit: </w:t>
      </w:r>
      <w:r>
        <w:rPr>
          <w:sz w:val="19"/>
        </w:rPr>
        <w:t>Ägypten, prospektive Klinikdaten; zeigt Dosierungsanpassung als klinische Notwendigkeit</w:t>
      </w:r>
    </w:p>
    <w:p>
      <w:r>
        <w:rPr>
          <w:color w:val="5A7D3A"/>
          <w:sz w:val="18"/>
        </w:rPr>
        <w:t>https://pubmed.ncbi.nlm.nih.gov/42870254/</w:t>
      </w:r>
    </w:p>
    <w:p>
      <w:pPr>
        <w:pStyle w:val="Heading2"/>
      </w:pPr>
      <w:r>
        <w:t>Leistenbruchoperation: Rauchen erhöht Komplikationsrisiko, Adipositas nicht</w:t>
      </w:r>
    </w:p>
    <w:p>
      <w:r>
        <w:rPr>
          <w:i/>
          <w:color w:val="666666"/>
          <w:sz w:val="18"/>
        </w:rPr>
        <w:t>Fredberg J et al.  ·  BJS Open  ·  04.09.2026  ·  PMID 42868085</w:t>
      </w:r>
    </w:p>
    <w:p>
      <w:r>
        <w:t>Dänische Nationalregisterdaten zu 2.391 Patienten mit elektivem Nabelbruchverschluss verfolgten Reoperationen wegen Komplikationen bis zu 4,65 Jahren nach dem Eingriff.</w:t>
      </w:r>
    </w:p>
    <w:p>
      <w:r>
        <w:rPr>
          <w:b/>
        </w:rPr>
        <w:t xml:space="preserve">Ergebnis: </w:t>
      </w:r>
      <w:r>
        <w:t>18,4 % waren Raucher, 34 % obese (BMI &gt;30). Raucher hatten eine 1,68-fach erhöhte Rate für Reoperationen insgesamt (p=0,032) und eine 2,01-fache für Nicht-Rezidiv-Komplikationen (p=0,009). Adipöse Patienten zeigten eine 1,83-fach erhöhte Rate für Nicht-Rezidiv-Komplikationen (p=0,016), aber kein signifikant erhöhtes Rezidivrisiko. Rauchen und Adipositas beeinflußten das reine Rezidivrisiko nicht signifikant.</w:t>
      </w:r>
    </w:p>
    <w:p>
      <w:r>
        <w:rPr>
          <w:b/>
          <w:sz w:val="19"/>
        </w:rPr>
        <w:t xml:space="preserve">Übertragbarkeit: </w:t>
      </w:r>
      <w:r>
        <w:rPr>
          <w:sz w:val="19"/>
        </w:rPr>
        <w:t>Dänemark, komplette nationale Folgedaten; vergleichbares Gesundheitssystem</w:t>
      </w:r>
    </w:p>
    <w:p>
      <w:r>
        <w:rPr>
          <w:color w:val="5A7D3A"/>
          <w:sz w:val="18"/>
        </w:rPr>
        <w:t>https://pubmed.ncbi.nlm.nih.gov/42868085/</w:t>
      </w:r>
    </w:p>
    <w:p>
      <w:pPr>
        <w:pStyle w:val="Heading1"/>
      </w:pPr>
      <w:r>
        <w:t>Aufgenommen am 14.10.2026</w:t>
      </w:r>
    </w:p>
    <w:p>
      <w:pPr>
        <w:pStyle w:val="Heading2"/>
      </w:pPr>
      <w:r>
        <w:t>Mexiko: Ernährungsfachkräfte konzentrieren sich in wohlhabenderen Regionen, fehlen in Primärversorgung</w:t>
      </w:r>
    </w:p>
    <w:p>
      <w:r>
        <w:rPr>
          <w:i/>
          <w:color w:val="666666"/>
          <w:sz w:val="18"/>
        </w:rPr>
        <w:t>Hoyos-Loya E et al.  ·  Rev Peru Med Exp Salud Publica  ·  30.09.2026  ·  PMID 42867955</w:t>
      </w:r>
    </w:p>
    <w:p>
      <w:r>
        <w:t>Ökologische Studie mit Sekundärdaten 2019 und 2023: Dichte von Ernährungsfachkräften (HRN) pro 100.000 Einwohner in Mexiko, Ungleichheit nach Bundesstaat, Versicherungsstatus und Versorgungsebene.</w:t>
      </w:r>
    </w:p>
    <w:p>
      <w:r>
        <w:rPr>
          <w:b/>
        </w:rPr>
        <w:t xml:space="preserve">Ergebnis: </w:t>
      </w:r>
      <w:r>
        <w:t>HRN-Dichte stieg von 5,9 (2019) auf 6,9 pro 100.000 (2023), aber ungleich verteilt. Sekundär-/Tertiärversorgung: 22,41 HRN/100.000, Primärversorgung nur 2,0. Höhere Konzentration in weniger marginalisierten Bundesstaaten (Konzentrationsindex CI=0,13 2019, CI=0,11 2023), bei versicherten Populationen (CI=0,36→0,33), höhere Versorgungsebenen (CI=0,20→0,18). Persistente regionale und Ebenen-Ungleichheiten trotz Gesamtwachstum.</w:t>
      </w:r>
    </w:p>
    <w:p>
      <w:r>
        <w:rPr>
          <w:b/>
          <w:sz w:val="19"/>
        </w:rPr>
        <w:t xml:space="preserve">Übertragbarkeit: </w:t>
      </w:r>
      <w:r>
        <w:rPr>
          <w:sz w:val="19"/>
        </w:rPr>
        <w:t>Mexiko, Verwaltungsdaten; Versorgungsungleichheit und Personalverteilung auch in Deutschland relevant.</w:t>
      </w:r>
    </w:p>
    <w:p>
      <w:r>
        <w:rPr>
          <w:color w:val="5A7D3A"/>
          <w:sz w:val="18"/>
        </w:rPr>
        <w:t>https://pubmed.ncbi.nlm.nih.gov/42867955/</w:t>
      </w:r>
    </w:p>
    <w:p>
      <w:pPr>
        <w:pStyle w:val="Heading2"/>
      </w:pPr>
      <w:r>
        <w:t>Frühgeborene haben niedrigere BMI-Werte – Gewichtskurven divergieren bis Alter 6 Jahren</w:t>
      </w:r>
    </w:p>
    <w:p>
      <w:r>
        <w:rPr>
          <w:i/>
          <w:color w:val="666666"/>
          <w:sz w:val="18"/>
        </w:rPr>
        <w:t>Aoki Y et al.  ·  Eur J Pediatr  ·  13.10.2026  ·  PMID 42867560</w:t>
      </w:r>
    </w:p>
    <w:p>
      <w:r>
        <w:t>Prospektive Kohorte von 93.406 Kindern in Japan: Assoziationen zwischen Frühgeburt und BMI-Trajektorien im Alter 3–6 Jahre mittels linearer Mischeffektmodelle.</w:t>
      </w:r>
    </w:p>
    <w:p>
      <w:r>
        <w:rPr>
          <w:b/>
        </w:rPr>
        <w:t xml:space="preserve">Ergebnis: </w:t>
      </w:r>
      <w:r>
        <w:t>Frühgeborene hatten erhöhte Quoten für Untergewicht (BMI&lt;-2 SD): adjustierte OR 1,35 (95%-CI 0,94–1,93) im Alter 3, 1,43 (1,02–1,99) im Alter 4, 1,70 (1,29–2,25) im Alter 5 und 1,52 (1,20–1,92) im Alter 6 Jahren. Der mittlere BMI-Unterschied lag über 3–6 Jahre konsistent bei 0,11–0,19 kg/m², ohne Konvergenz. Die Befunde deuten auf persistente Wachstumsdifferenzen hin.</w:t>
      </w:r>
    </w:p>
    <w:p>
      <w:r>
        <w:rPr>
          <w:b/>
          <w:sz w:val="19"/>
        </w:rPr>
        <w:t xml:space="preserve">Übertragbarkeit: </w:t>
      </w:r>
      <w:r>
        <w:rPr>
          <w:sz w:val="19"/>
        </w:rPr>
        <w:t>Japan, nationale Geburtskohorte mit vollständiger Verfolgung, aber Ergebnisse zur frühen Prävention relevant.</w:t>
      </w:r>
    </w:p>
    <w:p>
      <w:r>
        <w:rPr>
          <w:color w:val="5A7D3A"/>
          <w:sz w:val="18"/>
        </w:rPr>
        <w:t>https://pubmed.ncbi.nlm.nih.gov/42867560/</w:t>
      </w:r>
    </w:p>
    <w:p>
      <w:pPr>
        <w:pStyle w:val="Heading2"/>
      </w:pPr>
      <w:r>
        <w:t>Elterliche Adipositas verdreifacht bis vervierfacht Risiko für Übergewicht und zentrale Adipositas bei Nachkommen</w:t>
      </w:r>
    </w:p>
    <w:p>
      <w:r>
        <w:rPr>
          <w:i/>
          <w:color w:val="666666"/>
          <w:sz w:val="18"/>
        </w:rPr>
        <w:t>Qian Y et al.  ·  Front Public Health  ·  28.09.2026  ·  PMID 42865493</w:t>
      </w:r>
    </w:p>
    <w:p>
      <w:r>
        <w:t>Prospektive Kohortenstudie China Health and Nutrition Survey (1989–2015): 4.982 Nachkommen ab Alter ≥2 Jahre, stratifiziert nach elterlichem Übergewicht/Adipositas; Langzeit-Trajektorien von BMI, Taillenumfang und Blutdruck mittels linearer Mischeffektmodelle.</w:t>
      </w:r>
    </w:p>
    <w:p>
      <w:r>
        <w:rPr>
          <w:b/>
        </w:rPr>
        <w:t xml:space="preserve">Ergebnis: </w:t>
      </w:r>
      <w:r>
        <w:t>Nachkommen mit beiden adipösen Eltern (Gruppe 4) hatten höchste Basiswerte. Männliche Nachkommen Gruppe 4: HR 3,72 (95%-CI 1,73–7,99) für Übergewicht/Adipositas, HR 2,46 (1,31–4,62) für zentrale Adipositas. Weibliche Nachkommen Gruppe 4: HR 4,60 (1,93–10,94) für Übergewicht/Adipositas. Jährliche Steigerungsraten unterschieden sich nicht konsistent zwischen Gruppen.</w:t>
      </w:r>
    </w:p>
    <w:p>
      <w:r>
        <w:rPr>
          <w:b/>
          <w:sz w:val="19"/>
        </w:rPr>
        <w:t xml:space="preserve">Übertragbarkeit: </w:t>
      </w:r>
      <w:r>
        <w:rPr>
          <w:sz w:val="19"/>
        </w:rPr>
        <w:t>China, nationale Ernährungs- und Gesundheitserhebung; Familienprävention relevant für alle Länder.</w:t>
      </w:r>
    </w:p>
    <w:p>
      <w:r>
        <w:rPr>
          <w:color w:val="5A7D3A"/>
          <w:sz w:val="18"/>
        </w:rPr>
        <w:t>https://pubmed.ncbi.nlm.nih.gov/42865493/</w:t>
      </w:r>
    </w:p>
    <w:p>
      <w:pPr>
        <w:pStyle w:val="Heading2"/>
      </w:pPr>
      <w:r>
        <w:t>Familiengestützte Lebensstiländerung reduzierte Schulfehlzeiten bei Kindern mit Adipositas nicht</w:t>
      </w:r>
    </w:p>
    <w:p>
      <w:r>
        <w:rPr>
          <w:i/>
          <w:color w:val="666666"/>
          <w:sz w:val="18"/>
        </w:rPr>
        <w:t>Nielsen LB et al.  ·  Eur J Pediatr  ·  13.10.2026  ·  PMID 42864531</w:t>
      </w:r>
    </w:p>
    <w:p>
      <w:r>
        <w:t>Dänische Kohortenstudie (2010–2020): 778 Kinder mit Adipositas (Alter 5–8 Jahre), 287 mit einjähriger Lebensstiländerung vs. 491 ohne Intervention; Schulfehlzeiten über 9 Jahre verglichen.</w:t>
      </w:r>
    </w:p>
    <w:p>
      <w:r>
        <w:rPr>
          <w:b/>
        </w:rPr>
        <w:t xml:space="preserve">Ergebnis: </w:t>
      </w:r>
      <w:r>
        <w:t>Kein signifikanter Unterschied in adjustierten Modellen zwischen Interventions- und Kontrollgruppe in den Jahren nach Intervention. Schulfehlzeiten spitzten sich in Jahr 7 zu (6,2 % vs. 5,0 %). Krankheitsbedingte Fehlzeiten waren der Hauptteil der Gesamtabwesenheit. Längere oder zielgerichtetere Interventionen könnten nötig sein.</w:t>
      </w:r>
    </w:p>
    <w:p>
      <w:r>
        <w:rPr>
          <w:b/>
          <w:sz w:val="19"/>
        </w:rPr>
        <w:t xml:space="preserve">Übertragbarkeit: </w:t>
      </w:r>
      <w:r>
        <w:rPr>
          <w:sz w:val="19"/>
        </w:rPr>
        <w:t>Dänemark, Registerdaten, Versorgungsprogramm im öffentlichen Gesundheitssystem – übertragbar auf DACH-Länder.</w:t>
      </w:r>
    </w:p>
    <w:p>
      <w:r>
        <w:rPr>
          <w:color w:val="5A7D3A"/>
          <w:sz w:val="18"/>
        </w:rPr>
        <w:t>https://pubmed.ncbi.nlm.nih.gov/42864531/</w:t>
      </w:r>
    </w:p>
    <w:p>
      <w:pPr>
        <w:pStyle w:val="Heading2"/>
      </w:pPr>
      <w:r>
        <w:t>Bioaktive Lipide differenzieren Übergewicht: Docosanoide und Arachidonsäure-Derivate assoziiert mit niedrigerem BMI</w:t>
      </w:r>
    </w:p>
    <w:p>
      <w:r>
        <w:rPr>
          <w:i/>
          <w:color w:val="666666"/>
          <w:sz w:val="18"/>
        </w:rPr>
        <w:t>Chitsazan M et al.  ·  Diabetes Obes Metab  ·  01.09.2026  ·  PMID 42677506</w:t>
      </w:r>
    </w:p>
    <w:p>
      <w:r>
        <w:t>Querschnittsstudie MESA (n=5.101, Durchschnittsalter 63 Jahre) mit nicht-zielgerichteter Massenspektrometrie: 811 Eicosanoide gemessen, Assoziationen mit BMI und 8 kardiometabolischen Merkmalen mittels multivariater linearer Regression, externe Validierung in Framingham und ARIC.</w:t>
      </w:r>
    </w:p>
    <w:p>
      <w:r>
        <w:rPr>
          <w:b/>
        </w:rPr>
        <w:t xml:space="preserve">Ergebnis: </w:t>
      </w:r>
      <w:r>
        <w:t>255 Eicosanoide und verwandte Metabolite assoziiert mit BMI (FDR q&lt;0,01). 82 zeigten konsistente Assoziationen über alle 3 Kohorten: 9 mit niedrigerem BMI (z. B. 19,20-DiHDPA, 20-Carboxy-Arachidonsäure, 5,6-diHETrE), 9 mit höherem BMI (z. B. HOME, 11-HOME, Adrensäure). 94 % der BMI-assoziierten Metabolite überlappten mit Taillenumfang, 36 % mit viszeralem Fettgewebe. Pro- und anti-inflammatorische Lipidwege differenzieren Adipositas-Phänotypen.</w:t>
      </w:r>
    </w:p>
    <w:p>
      <w:r>
        <w:rPr>
          <w:b/>
          <w:sz w:val="19"/>
        </w:rPr>
        <w:t xml:space="preserve">Übertragbarkeit: </w:t>
      </w:r>
      <w:r>
        <w:rPr>
          <w:sz w:val="19"/>
        </w:rPr>
        <w:t>USA-Kohorte; Mechanismus des Adipositas-Metabolismus relevant für Risikostratifizierung, Übertragbarkeit mittel.</w:t>
      </w:r>
    </w:p>
    <w:p>
      <w:r>
        <w:rPr>
          <w:color w:val="5A7D3A"/>
          <w:sz w:val="18"/>
        </w:rPr>
        <w:t>https://pubmed.ncbi.nlm.nih.gov/42677506/</w:t>
      </w:r>
    </w:p>
    <w:p>
      <w:pPr>
        <w:pStyle w:val="Heading1"/>
      </w:pPr>
      <w:r>
        <w:t>Aufgenommen am 13.10.2026</w:t>
      </w:r>
    </w:p>
    <w:p>
      <w:pPr>
        <w:pStyle w:val="Heading2"/>
      </w:pPr>
      <w:r>
        <w:t>CPAP bei Schlafapnoe und Adipositas: Pulmonalarteriendruck sinkt, aber Herzstruktur bleibt unverändert</w:t>
      </w:r>
    </w:p>
    <w:p>
      <w:r>
        <w:rPr>
          <w:i/>
          <w:color w:val="666666"/>
          <w:sz w:val="18"/>
        </w:rPr>
        <w:t>Li J et al.  ·  Can Respir J  ·  2026  ·  PMID 42861515</w:t>
      </w:r>
    </w:p>
    <w:p>
      <w:r>
        <w:t>Systematischer Review und Metaanalyse von 8 Studien (2 RCTs, 6 Kohorten, 574 Patienten) zur Wirkung von CPAP auf pulmonale Hämodynamik und linksventrikuläre Funktion bei OSA/OHS.</w:t>
      </w:r>
    </w:p>
    <w:p>
      <w:r>
        <w:rPr>
          <w:b/>
        </w:rPr>
        <w:t xml:space="preserve">Ergebnis: </w:t>
      </w:r>
      <w:r>
        <w:t>CPAP reduzierte signifikant den Pulmonalarteriendruck (MD −2,32 mmHg; 95%-KI −3,88 bis −0,76; p=0,004) und verbesserte die diastolische Funktion (E/A-Ratio MD +0,29; 95%-KI +0,09 bis +0,48; p=0,004). Keine signifikanten Effekte auf linksventrikuläre Masse (p=0,27) oder Ejektionsfraktion (p=0,61). Befunde waren robust in Sensitivitätsanalysen.</w:t>
      </w:r>
    </w:p>
    <w:p>
      <w:r>
        <w:rPr>
          <w:b/>
          <w:sz w:val="19"/>
        </w:rPr>
        <w:t xml:space="preserve">Übertragbarkeit: </w:t>
      </w:r>
      <w:r>
        <w:rPr>
          <w:sz w:val="19"/>
        </w:rPr>
        <w:t>China, aber Systematik und Endergebnisse sind behandlungsunabhängig übertragbar</w:t>
      </w:r>
    </w:p>
    <w:p>
      <w:r>
        <w:rPr>
          <w:color w:val="5A7D3A"/>
          <w:sz w:val="18"/>
        </w:rPr>
        <w:t>https://pubmed.ncbi.nlm.nih.gov/42861515/</w:t>
      </w:r>
    </w:p>
    <w:p>
      <w:pPr>
        <w:pStyle w:val="Heading2"/>
      </w:pPr>
      <w:r>
        <w:t>Antipsychotika und Adipositas: Strukturierte Diagnostik und Metformin in der psychiatrischen Praxis</w:t>
      </w:r>
    </w:p>
    <w:p>
      <w:r>
        <w:rPr>
          <w:i/>
          <w:color w:val="666666"/>
          <w:sz w:val="18"/>
        </w:rPr>
        <w:t>Wichniak A et al.  ·  Psychiatr Pol  ·  30.08.2026  ·  PMID 42857934</w:t>
      </w:r>
    </w:p>
    <w:p>
      <w:r>
        <w:t>Klinische Handlungsempfehlungen der Polnischen Psychiatrischen Gesellschaft zu Prävention metabolischer Störungen bei Patienten unter Antipsychotika mit konkretisierten Überwachungsintervallen und Therapieempfehlungen.</w:t>
      </w:r>
    </w:p>
    <w:p>
      <w:r>
        <w:rPr>
          <w:b/>
        </w:rPr>
        <w:t xml:space="preserve">Ergebnis: </w:t>
      </w:r>
      <w:r>
        <w:t>Cardiometabolische Risikoerfassung (Gewicht, Taillenumfang, Blutdruck, Blutzucker, HbA1c, Lipidprofil) vor Therapiestart, dann in Woche 6, 12 und dann jährlich empfohlen. Bei Gewichtszunahme und Risikofaktoren: Metformin 1.000–2.000 mg/Tag als beste dokumentierte, sichere und kostengünstige Präventionsmethode; Adipöse Patienten sollten eine wirksame Pharmakotherapie nach aktuellen Leitlinien erhalten.</w:t>
      </w:r>
    </w:p>
    <w:p>
      <w:r>
        <w:rPr>
          <w:b/>
          <w:sz w:val="19"/>
        </w:rPr>
        <w:t xml:space="preserve">Übertragbarkeit: </w:t>
      </w:r>
      <w:r>
        <w:rPr>
          <w:sz w:val="19"/>
        </w:rPr>
        <w:t>Polen, europäisches Versicherungssystem, psychiatrische Standardversorgung</w:t>
      </w:r>
    </w:p>
    <w:p>
      <w:r>
        <w:rPr>
          <w:color w:val="5A7D3A"/>
          <w:sz w:val="18"/>
        </w:rPr>
        <w:t>https://pubmed.ncbi.nlm.nih.gov/42857934/</w:t>
      </w:r>
    </w:p>
    <w:p>
      <w:pPr>
        <w:pStyle w:val="Heading2"/>
      </w:pPr>
      <w:r>
        <w:t>Gewichtsmanagement in der Schwangerschaft: Minderheitenangehörige Frauen in UK erhalten keine kulturgerechte Unterstützung</w:t>
      </w:r>
    </w:p>
    <w:p>
      <w:r>
        <w:rPr>
          <w:i/>
          <w:color w:val="666666"/>
          <w:sz w:val="18"/>
        </w:rPr>
        <w:t>Morsy B et al.  ·  Front Public Health  ·  25.09.2026  ·  PMID 42856522</w:t>
      </w:r>
    </w:p>
    <w:p>
      <w:r>
        <w:t>Scoping Review zur Gewichtskontrolle in der Schwangerschaft bei ethnischen Minderheiten im UK: Nur 3 Studien mit 1.741 Teilnehmerinnen gefunden, alle ohne kulturelle Anpassung und mit unzureichenden ethnischen Untergruppen-Analysen.</w:t>
      </w:r>
    </w:p>
    <w:p>
      <w:r>
        <w:rPr>
          <w:b/>
        </w:rPr>
        <w:t xml:space="preserve">Ergebnis: </w:t>
      </w:r>
      <w:r>
        <w:t>Von 3 eingeschlossenen Studien (2016–2025) zeigten alle unzureichende kulturelle Anpassung und fragmentierte ethnisch stratifizierte Datenberichte. Minderheitenangehörige Frauen zeigten niedrigere Beteiligung; keine Studie konnte nachweisen, ob Interventionen ethnische Unterschiede in Gestationsdiabetes-Ergebnissen reduzierten. Die Evidenzlücke zu kulturgerechten Programmen ist erheblich.</w:t>
      </w:r>
    </w:p>
    <w:p>
      <w:r>
        <w:rPr>
          <w:b/>
          <w:sz w:val="19"/>
        </w:rPr>
        <w:t xml:space="preserve">Übertragbarkeit: </w:t>
      </w:r>
      <w:r>
        <w:rPr>
          <w:sz w:val="19"/>
        </w:rPr>
        <w:t>Vereinigtes Königreich, vergleichbares Sozialversicherungssystem, relevante Equity-Fragestellung</w:t>
      </w:r>
    </w:p>
    <w:p>
      <w:r>
        <w:rPr>
          <w:color w:val="5A7D3A"/>
          <w:sz w:val="18"/>
        </w:rPr>
        <w:t>https://pubmed.ncbi.nlm.nih.gov/42856522/</w:t>
      </w:r>
    </w:p>
    <w:p>
      <w:pPr>
        <w:pStyle w:val="Heading2"/>
      </w:pPr>
      <w:r>
        <w:t>Magenverweilstörung nach Pankreatoduodenektomie: Zwei Anastomose-Techniken zeigen keinen Unterschied</w:t>
      </w:r>
    </w:p>
    <w:p>
      <w:r>
        <w:rPr>
          <w:i/>
          <w:color w:val="666666"/>
          <w:sz w:val="18"/>
        </w:rPr>
        <w:t>Robin F et al.  ·  Ann Surg  ·  01.11.2026  ·  PMID 42832388</w:t>
      </w:r>
    </w:p>
    <w:p>
      <w:r>
        <w:t>Randomisierte kontrolierte Studie an 2 französischen Hochvolumen-Zentren mit 158 Patienten (79 pro Gruppe), die zwei Techniken der Magenverweilstörung nach Pankreatoduodenektomie verglichen.</w:t>
      </w:r>
    </w:p>
    <w:p>
      <w:r>
        <w:rPr>
          <w:b/>
        </w:rPr>
        <w:t xml:space="preserve">Ergebnis: </w:t>
      </w:r>
      <w:r>
        <w:t>Magenverweilstörung (DGE) trat bei 38,0% nach side-to-side und 30,4% nach end-to-side Technik auf (RR 1,25; 95%-KI 0,81–1,94; p=0,314). Sekundäre Endpunkte (Fistelrate, Reinvasionen, Mortalität, Lebensqualität nach GIQLI) unterschieden sich nicht signifikant zwischen Gruppen. Ernährungsparameter und Lebensqualität waren vergleichbar.</w:t>
      </w:r>
    </w:p>
    <w:p>
      <w:r>
        <w:rPr>
          <w:b/>
          <w:sz w:val="19"/>
        </w:rPr>
        <w:t xml:space="preserve">Übertragbarkeit: </w:t>
      </w:r>
      <w:r>
        <w:rPr>
          <w:sz w:val="19"/>
        </w:rPr>
        <w:t>Frankreich, vergleichbares Gesundheitssystem, hochspezialisierte chirurgische Versorgung</w:t>
      </w:r>
    </w:p>
    <w:p>
      <w:r>
        <w:rPr>
          <w:color w:val="5A7D3A"/>
          <w:sz w:val="18"/>
        </w:rPr>
        <w:t>https://pubmed.ncbi.nlm.nih.gov/42832388/</w:t>
      </w:r>
    </w:p>
    <w:p>
      <w:pPr>
        <w:pStyle w:val="Heading2"/>
      </w:pPr>
      <w:r>
        <w:t>Frühe Menarche und Menopause: Taillenumfang mediiert kardiovaskuläres Risiko bei postmenopausalen Frauen</w:t>
      </w:r>
    </w:p>
    <w:p>
      <w:r>
        <w:rPr>
          <w:i/>
          <w:color w:val="666666"/>
          <w:sz w:val="18"/>
        </w:rPr>
        <w:t>Borrowman JD et al.  ·  J Am Heart Assoc  ·  06.10.2026  ·  PMID 42786622</w:t>
      </w:r>
    </w:p>
    <w:p>
      <w:r>
        <w:t>Prospektive Kohortenstudie mit 119.182 postmenopausalen Frauen aus WHI (Oktober 1993–Januar 2025 Follow-up); Untersuchung von Reproduktionsmerkmalen und abdominaler Adipositas als Mediatoren des CVD-Risikos.</w:t>
      </w:r>
    </w:p>
    <w:p>
      <w:r>
        <w:rPr>
          <w:b/>
        </w:rPr>
        <w:t xml:space="preserve">Ergebnis: </w:t>
      </w:r>
      <w:r>
        <w:t>Über Median 12,8 Jahre traten 12.731 kardiovaskuläre Ereignisse auf (Rate 10,4/1.000 Personenjahre). Frühe Menarche (HR 1,07; 95%-KI 1,01–1,15), frühe Menopause (HR 1,22; 95%-KI 1,11–1,35) und kurze Reproduktionslifespan (HR 1,21; 95%-KI 1,13–1,29) waren mit CVD assoziiert. Taillenumfang war signifikanter Mediator aller drei Assoziationen. Diese Befunde zeigen, dass abdominale Adipositas einen wesentlichen Pfad zwischen Reproduktionsfaktoren und kardiovaskulärem Risiko darstellt.</w:t>
      </w:r>
    </w:p>
    <w:p>
      <w:r>
        <w:rPr>
          <w:b/>
          <w:sz w:val="19"/>
        </w:rPr>
        <w:t xml:space="preserve">Übertragbarkeit: </w:t>
      </w:r>
      <w:r>
        <w:rPr>
          <w:sz w:val="19"/>
        </w:rPr>
        <w:t>USA, aber Fragestellung und Medations-Befunde sind universell übertragbar</w:t>
      </w:r>
    </w:p>
    <w:p>
      <w:r>
        <w:rPr>
          <w:color w:val="5A7D3A"/>
          <w:sz w:val="18"/>
        </w:rPr>
        <w:t>https://pubmed.ncbi.nlm.nih.gov/42786622/</w:t>
      </w:r>
    </w:p>
    <w:p>
      <w:pPr>
        <w:pStyle w:val="Heading2"/>
      </w:pPr>
      <w:r>
        <w:t>Berberin-Kombipräparat: Geringe Verbesserung von Insulinsensitivität und Körperfettmasse über 12 Wochen</w:t>
      </w:r>
    </w:p>
    <w:p>
      <w:r>
        <w:rPr>
          <w:i/>
          <w:color w:val="666666"/>
          <w:sz w:val="18"/>
        </w:rPr>
        <w:t>Xenos K et al.  ·  Nutrients  ·  27.08.2026  ·  PMID 42738972</w:t>
      </w:r>
    </w:p>
    <w:p>
      <w:r>
        <w:t>Randomisierte kontrollierte 12-Wochen-Studie mit 93 griechischen Erwachsenen mit Adipositas; Kombination von Berberin (1.000 mg), Maulbeerbaum-Extrakt (400 mg) und Chrom-Pikotinat (0,644 mg) versus Placebo.</w:t>
      </w:r>
    </w:p>
    <w:p>
      <w:r>
        <w:rPr>
          <w:b/>
        </w:rPr>
        <w:t xml:space="preserve">Ergebnis: </w:t>
      </w:r>
      <w:r>
        <w:t>Aktive Gruppe vs. Placebo zeigte signifikante Reduktion: BMI −1,24 kg/m² (95%-KI −2,15 bis −0,33), Gesamtkörperfett −2,35 kg (95%-KI −4,12 bis −0,58), viszerales Fett −0,92 Einheiten (95%-KI −1,74 bis −0,10). Insulinsensitivität verbesserte sich um 28% stärker in der aktiven Gruppe (geometrisches Mittel-Ratio 1,28; 95%-KI 1,14–1,44). Einzelkomponenten-Beiträge ungeklärt.</w:t>
      </w:r>
    </w:p>
    <w:p>
      <w:r>
        <w:rPr>
          <w:b/>
          <w:sz w:val="19"/>
        </w:rPr>
        <w:t xml:space="preserve">Übertragbarkeit: </w:t>
      </w:r>
      <w:r>
        <w:rPr>
          <w:sz w:val="19"/>
        </w:rPr>
        <w:t>Griechenland, europäisches System, aber geringe Effektstärke und kurze Dauer</w:t>
      </w:r>
    </w:p>
    <w:p>
      <w:r>
        <w:rPr>
          <w:color w:val="5A7D3A"/>
          <w:sz w:val="18"/>
        </w:rPr>
        <w:t>https://pubmed.ncbi.nlm.nih.gov/42738972/</w:t>
      </w:r>
    </w:p>
    <w:p>
      <w:pPr>
        <w:pStyle w:val="Heading1"/>
      </w:pPr>
      <w:r>
        <w:t>Aufgenommen am 12.10.2026</w:t>
      </w:r>
    </w:p>
    <w:p>
      <w:pPr>
        <w:pStyle w:val="Heading2"/>
      </w:pPr>
      <w:r>
        <w:t>Antipsychotika: Strukturierte Prävention metabolischer Störungen senkt Adipositas-Risiko</w:t>
      </w:r>
    </w:p>
    <w:p>
      <w:r>
        <w:rPr>
          <w:i/>
          <w:color w:val="666666"/>
          <w:sz w:val="18"/>
        </w:rPr>
        <w:t>Wichniak A et al.  ·  Psychiatr Pol  ·  30.08.2026  ·  PMID 42857933</w:t>
      </w:r>
    </w:p>
    <w:p>
      <w:r>
        <w:t>Polnische Leitlinien für die Prävention von Adipositas und metabolischen Störungen bei Patienten unter Antipsychotika, basierend auf Expertise und Literatur.</w:t>
      </w:r>
    </w:p>
    <w:p>
      <w:r>
        <w:rPr>
          <w:b/>
        </w:rPr>
        <w:t xml:space="preserve">Ergebnis: </w:t>
      </w:r>
      <w:r>
        <w:t>Sieben empfohlene Präventionsmaßnahmen: Ernährungsberatung, regelmäßige Bewegung, Mahlzeitenplanung, Achtsamkeit, Selbsthilfgruppen und Fortschrittsmonitoring. Bei hohem Risiko werden pharmakologische Interventionen (Teil 2) empfohlen. Psychiater sollten aktiv zur Prävention beitragen.</w:t>
      </w:r>
    </w:p>
    <w:p>
      <w:r>
        <w:rPr>
          <w:b/>
          <w:sz w:val="19"/>
        </w:rPr>
        <w:t xml:space="preserve">Übertragbarkeit: </w:t>
      </w:r>
      <w:r>
        <w:rPr>
          <w:sz w:val="19"/>
        </w:rPr>
        <w:t>Polen, strukturiertes Präventionssystem, übertragbar auf deutschsprachige Länder mit ähnlichem Versorgungsauftrag</w:t>
      </w:r>
    </w:p>
    <w:p>
      <w:r>
        <w:rPr>
          <w:color w:val="5A7D3A"/>
          <w:sz w:val="18"/>
        </w:rPr>
        <w:t>https://pubmed.ncbi.nlm.nih.gov/42857933/</w:t>
      </w:r>
    </w:p>
    <w:p>
      <w:pPr>
        <w:pStyle w:val="Heading1"/>
      </w:pPr>
      <w:r>
        <w:t>Aufgenommen am 11.10.2026</w:t>
      </w:r>
    </w:p>
    <w:p>
      <w:pPr>
        <w:pStyle w:val="Heading2"/>
      </w:pPr>
      <w:r>
        <w:t>Obstruktive Schlafapnoe und Insulinresistenz bei Kindern mit Prader-Willi: SPISE-Index als Marker</w:t>
      </w:r>
    </w:p>
    <w:p>
      <w:r>
        <w:rPr>
          <w:i/>
          <w:color w:val="666666"/>
          <w:sz w:val="18"/>
        </w:rPr>
        <w:t>Güney AZ et al.  ·  Eur J Pediatr  ·  09.10.2026  ·  PMID 42855587</w:t>
      </w:r>
    </w:p>
    <w:p>
      <w:r>
        <w:t>Türkische Querschnittsstudie vergleicht SPISE und HOMA-IR als Insulinresistenzmarker und deren Assoziation mit OSA-Schweregrad bei 31 PWS-Kindern und 47 nicht-syndromischen Kindern.</w:t>
      </w:r>
    </w:p>
    <w:p>
      <w:r>
        <w:rPr>
          <w:b/>
        </w:rPr>
        <w:t xml:space="preserve">Ergebnis: </w:t>
      </w:r>
      <w:r>
        <w:t>Bei PWS-Kindern: oAHI korrelierte invers mit SPISE (ρ = −0,378, p = 0,036), in multivariablem Modell blieb höherer oAHI mit niedrigerem SPISE assoziiert (B = −0,154, p = 0,015); ODI korrelierte mit SPISE (ρ = −0,427, p = 0,017) aber nicht HOMA-IR. SPISE zeigt stärkere Assoziationen mit OSA-Schweregrad, verdient weitere Validierung.</w:t>
      </w:r>
    </w:p>
    <w:p>
      <w:r>
        <w:rPr>
          <w:b/>
          <w:sz w:val="19"/>
        </w:rPr>
        <w:t xml:space="preserve">Übertragbarkeit: </w:t>
      </w:r>
      <w:r>
        <w:rPr>
          <w:sz w:val="19"/>
        </w:rPr>
        <w:t>Europäische Fachdisziplin (Pädiatrie), seltenes Syndrom, kleinere Stichprobe mit Validierungsbedarf</w:t>
      </w:r>
    </w:p>
    <w:p>
      <w:r>
        <w:rPr>
          <w:color w:val="5A7D3A"/>
          <w:sz w:val="18"/>
        </w:rPr>
        <w:t>https://pubmed.ncbi.nlm.nih.gov/42855587/</w:t>
      </w:r>
    </w:p>
    <w:p>
      <w:pPr>
        <w:pStyle w:val="Heading2"/>
      </w:pPr>
      <w:r>
        <w:t>Semaglutid plus Dapagliflozin bei Typ-2-Diabetes mit Nierenerkrankung: 8-Wochen-Effekte</w:t>
      </w:r>
    </w:p>
    <w:p>
      <w:r>
        <w:rPr>
          <w:i/>
          <w:color w:val="666666"/>
          <w:sz w:val="18"/>
        </w:rPr>
        <w:t>Gong C et al.  ·  Medicine (Baltimore)  ·  09.10.2026  ·  PMID 42854065</w:t>
      </w:r>
    </w:p>
    <w:p>
      <w:r>
        <w:t>Retrospektive Beobachtungsstudie vergleicht Kombinationstherapie mit Semaglutid und Dapagliflozin gegen je Monotherapie bei 126 Patienten (3×42 pro Arm) mit Typ-2-Diabetes und chronischer Nierenerkrankung (CKD) über 8 Wochen.</w:t>
      </w:r>
    </w:p>
    <w:p>
      <w:r>
        <w:rPr>
          <w:b/>
        </w:rPr>
        <w:t xml:space="preserve">Ergebnis: </w:t>
      </w:r>
      <w:r>
        <w:t>Nach 8 Wochen zeigte Kombinationsgruppe signifikant stärkere Reduktionen als je Monotherapie: Nüchternglukose (sig. in allen 3 Gruppen), HbA1c, Harnstoff, Kreatinin, 24-h-Proteinurie, Entzündungsmarker (ESR, IL-6, hs-CRP). Kombinationsgruppe höhere klinische Ansprechrate. Keine erhöhten Nebenwirkungen in 8 Wochen; aber retrospektiv, kleine Stichprobe, kurze Beobachtung – long-term renale Benefits nicht etabliert.</w:t>
      </w:r>
    </w:p>
    <w:p>
      <w:r>
        <w:rPr>
          <w:b/>
          <w:sz w:val="19"/>
        </w:rPr>
        <w:t xml:space="preserve">Übertragbarkeit: </w:t>
      </w:r>
      <w:r>
        <w:rPr>
          <w:sz w:val="19"/>
        </w:rPr>
        <w:t>China, retrospektiv, kleine Stichprobe, kurze Dauer – begrenzte Übertragbarkeit</w:t>
      </w:r>
    </w:p>
    <w:p>
      <w:r>
        <w:rPr>
          <w:color w:val="5A7D3A"/>
          <w:sz w:val="18"/>
        </w:rPr>
        <w:t>https://pubmed.ncbi.nlm.nih.gov/42854065/</w:t>
      </w:r>
    </w:p>
    <w:p>
      <w:pPr>
        <w:pStyle w:val="Heading2"/>
      </w:pPr>
      <w:r>
        <w:t>BMI und Immuntherapie-Antwort bei Krebs: Überraschend vorteilhaft – aber mit Unsicherheit</w:t>
      </w:r>
    </w:p>
    <w:p>
      <w:r>
        <w:rPr>
          <w:i/>
          <w:color w:val="666666"/>
          <w:sz w:val="18"/>
        </w:rPr>
        <w:t>Sun S et al.  ·  Front Immunol  ·  24.09.2026  ·  PMID 42851698</w:t>
      </w:r>
    </w:p>
    <w:p>
      <w:r>
        <w:t>Systematischer Review und Dosis-Response-Metaanalyse von 61 Studien mit 46.572 Krebspatienten untersucht BMI als Prognosefaktor unter Immuncheckpoint-Inhibitor (ICI)-Therapie für Gesamtüberleben (OS), progressionsfreies Überleben (PFS), Ansprechen und Nebenwirkungen.</w:t>
      </w:r>
    </w:p>
    <w:p>
      <w:r>
        <w:rPr>
          <w:b/>
        </w:rPr>
        <w:t xml:space="preserve">Ergebnis: </w:t>
      </w:r>
      <w:r>
        <w:t>Höherer BMI assoziiert mit günstigerem OS (HR 0,74, 95% KI 0,67–0,82, p&lt;0,001, I²=70,6%) und PFS (HR 0,78, 95% KI 0,69–0,89, p&lt;0,001, I²=60,3%), besonders Adipositas vs. Normalgewicht. Pro 5 kg/m² BMI-Anstieg: PFS verbessert (HR 0,87, 95% KI 0,81–0,95, p&lt;0,001), OS nicht (HR 0,91, ns). Aber Vorhersageintervalle umfassen Nullwert; Assoziationen mit Ansprechen und Grad-3+ Nebenwirkungen inkonsistent. Vorsichtige Interpretation erforderlich – kein kausaler Schluss.</w:t>
      </w:r>
    </w:p>
    <w:p>
      <w:r>
        <w:rPr>
          <w:b/>
          <w:sz w:val="19"/>
        </w:rPr>
        <w:t xml:space="preserve">Übertragbarkeit: </w:t>
      </w:r>
      <w:r>
        <w:rPr>
          <w:sz w:val="19"/>
        </w:rPr>
        <w:t>Internationale Evidenz, Krebsimmuntherapie, Assoziationen nicht kausal – begrenzte Versorgungsrelevanz</w:t>
      </w:r>
    </w:p>
    <w:p>
      <w:r>
        <w:rPr>
          <w:color w:val="5A7D3A"/>
          <w:sz w:val="18"/>
        </w:rPr>
        <w:t>https://pubmed.ncbi.nlm.nih.gov/42851698/</w:t>
      </w:r>
    </w:p>
    <w:p>
      <w:pPr>
        <w:pStyle w:val="Heading2"/>
      </w:pPr>
      <w:r>
        <w:t>Hyperphagia in Prader-Willi-Syndrom: multidimensionale Bewertung und Versorgungsansätze</w:t>
      </w:r>
    </w:p>
    <w:p>
      <w:r>
        <w:rPr>
          <w:i/>
          <w:color w:val="666666"/>
          <w:sz w:val="18"/>
        </w:rPr>
        <w:t>Tauber M et al.  ·  Orphanet J Rare Dis  ·  05.10.2026  ·  PMID 42834406</w:t>
      </w:r>
    </w:p>
    <w:p>
      <w:r>
        <w:t>Internationale Expertengruppe entwickelt Konzeptualisierung der Hyperphagia als komplexe, multidimensionale Störung mit integrierten biologischen, Verhaltens- und Umgebungsansätzen zur Versorgung.</w:t>
      </w:r>
    </w:p>
    <w:p>
      <w:r>
        <w:rPr>
          <w:b/>
        </w:rPr>
        <w:t xml:space="preserve">Ergebnis: </w:t>
      </w:r>
      <w:r>
        <w:t>Zentrale Erkenntnisse: Hyperphagia in PWS ist multidimensional (beeinträchtigte Sättigungssignale, Belohnungsneurozirkuitry, autonome Dysfunktion); strukturierte Food Environment und Übergänge zur erwachsenenmedizinischen Versorgung sind kritisch; validierte Messinstrumente (Hyperphagia Questionnaire, HQ-CT) werden empfohlen.</w:t>
      </w:r>
    </w:p>
    <w:p>
      <w:r>
        <w:rPr>
          <w:b/>
          <w:sz w:val="19"/>
        </w:rPr>
        <w:t xml:space="preserve">Übertragbarkeit: </w:t>
      </w:r>
      <w:r>
        <w:rPr>
          <w:sz w:val="19"/>
        </w:rPr>
        <w:t>Europäische Referenzzentren, vergleichbare Versorgungsstruktur für seltene Erkrankungen</w:t>
      </w:r>
    </w:p>
    <w:p>
      <w:r>
        <w:rPr>
          <w:color w:val="5A7D3A"/>
          <w:sz w:val="18"/>
        </w:rPr>
        <w:t>https://pubmed.ncbi.nlm.nih.gov/42834406/</w:t>
      </w:r>
    </w:p>
    <w:p>
      <w:pPr>
        <w:pStyle w:val="Heading2"/>
      </w:pPr>
      <w:r>
        <w:t>Übergewicht bei Kindern unter 5 Jahren in Indien: Anstieg bis 2021, dann Rückgang</w:t>
      </w:r>
    </w:p>
    <w:p>
      <w:r>
        <w:rPr>
          <w:i/>
          <w:color w:val="666666"/>
          <w:sz w:val="18"/>
        </w:rPr>
        <w:t>Rai RK et al.  ·  JAMA Netw Open  ·  01.09.2026  ·  PMID 42809284</w:t>
      </w:r>
    </w:p>
    <w:p>
      <w:r>
        <w:t>Längsschnittanalyse des National Family Health Survey über 18 Jahre (2006–2024) untersucht Prävalenz von Übergewicht und Adipositas bei indischen Kleinkindern und Machbarkeit des 2030 Global Nutrition Target (≤5% Übergewicht).</w:t>
      </w:r>
    </w:p>
    <w:p>
      <w:r>
        <w:rPr>
          <w:b/>
        </w:rPr>
        <w:t xml:space="preserve">Ergebnis: </w:t>
      </w:r>
      <w:r>
        <w:t>N=467.995 Kinder (2006–2021): Übergewichtsprävalenz stieg von 1,55% (2006) auf 3,42% (2021), fiel dann auf 1,3% (2024); Adipositas stieg von 0,50% auf 1,30%. National ist Indien auf dem Weg zum 2030-Ziel, aber 9 Bundesstaaten/UTs (Arunachal Pradesh, Assam, Himachal Pradesh, Jammu u. Kashmir, Kerala, Mizoram, Nagaland, Sikkim, Tripura) zeigen niedrig bis moderat Erreichungswahrscheinlichkeit. Subnationaler Disparitäten erfordern zielgerichtete Interventionen.</w:t>
      </w:r>
    </w:p>
    <w:p>
      <w:r>
        <w:rPr>
          <w:b/>
          <w:sz w:val="19"/>
        </w:rPr>
        <w:t xml:space="preserve">Übertragbarkeit: </w:t>
      </w:r>
      <w:r>
        <w:rPr>
          <w:sz w:val="19"/>
        </w:rPr>
        <w:t>Indien, Datenqualität begrenzt, Global Health Relevanz aber gering für deutsches System</w:t>
      </w:r>
    </w:p>
    <w:p>
      <w:r>
        <w:rPr>
          <w:color w:val="5A7D3A"/>
          <w:sz w:val="18"/>
        </w:rPr>
        <w:t>https://pubmed.ncbi.nlm.nih.gov/42809284/</w:t>
      </w:r>
    </w:p>
    <w:p>
      <w:pPr>
        <w:pStyle w:val="Heading2"/>
      </w:pPr>
      <w:r>
        <w:t>CT-Adipositätsmessung prognostiziert Intensivverweildauer nach Trauma besser als BMI</w:t>
      </w:r>
    </w:p>
    <w:p>
      <w:r>
        <w:rPr>
          <w:i/>
          <w:color w:val="666666"/>
          <w:sz w:val="18"/>
        </w:rPr>
        <w:t>Zander C et al.  ·  Injury  ·  22.08.2026  ·  PMID 42648018</w:t>
      </w:r>
    </w:p>
    <w:p>
      <w:r>
        <w:t>Deutsche Kohortenstudie untersucht, ob CT-Messungen viszeraler und subkutaner Adipositas (VATI, SATI, AATI) die Intensivverweildauer nach moderatem bis schwerem Trauma besser vorhersagen als BMI.</w:t>
      </w:r>
    </w:p>
    <w:p>
      <w:r>
        <w:rPr>
          <w:b/>
        </w:rPr>
        <w:t xml:space="preserve">Ergebnis: </w:t>
      </w:r>
      <w:r>
        <w:t>142 Traumapatienten: VATI und SATI korrelieren signifikant mit ICU-Verweildauer (ρ = 0,25–0,27, p ≤ 0,003) und Beatmungsdauer (ρ = 0,19–0,24, p ≤ 0,003), während BMI nicht korreliert. AATI bleibt in kombiniertem Modell signifikant (+15,5% pro SD für ICU-LOS, p = 0,016). CT-basierte Körperzusammensetzung verbessert individuelle Risikoeinschätzung.</w:t>
      </w:r>
    </w:p>
    <w:p>
      <w:r>
        <w:rPr>
          <w:b/>
          <w:sz w:val="19"/>
        </w:rPr>
        <w:t xml:space="preserve">Übertragbarkeit: </w:t>
      </w:r>
      <w:r>
        <w:rPr>
          <w:sz w:val="19"/>
        </w:rPr>
        <w:t>Deutsche Klinikdaten, deutsche Versorgungspraxis, direkt übertragbar</w:t>
      </w:r>
    </w:p>
    <w:p>
      <w:r>
        <w:rPr>
          <w:color w:val="5A7D3A"/>
          <w:sz w:val="18"/>
        </w:rPr>
        <w:t>https://pubmed.ncbi.nlm.nih.gov/42648018/</w:t>
      </w:r>
    </w:p>
    <w:p>
      <w:pPr>
        <w:pStyle w:val="Heading2"/>
      </w:pPr>
      <w:r>
        <w:t>Bauchfett und Griffstärke gemeinsam vorhersagend für Herz-Kreislauf-Erkrankungen</w:t>
      </w:r>
    </w:p>
    <w:p>
      <w:r>
        <w:rPr>
          <w:i/>
          <w:color w:val="666666"/>
          <w:sz w:val="18"/>
        </w:rPr>
        <w:t>Luo J et al.  ·  Diabetes Obes Metab  ·  25.08.2026  ·  PMID 42642342</w:t>
      </w:r>
    </w:p>
    <w:p>
      <w:r>
        <w:t>UK Biobank Kohortenstudie untersucht gemeinsame und separate Assoziationen von Taillenumfang (WC) und Griffstärke (GS) mit atherosklerotischen Herz-Kreislauf-Erkrankungen (ASCVD) über 14,8 Jahre.</w:t>
      </w:r>
    </w:p>
    <w:p>
      <w:r>
        <w:rPr>
          <w:b/>
        </w:rPr>
        <w:t xml:space="preserve">Ergebnis: </w:t>
      </w:r>
      <w:r>
        <w:t>27.189 Fälle von ASCVD unter 271.061 Teilnehmern: Hohes WC (HR 1,35, 95% KI 1,31–1,39) und niedrige GS (HR 1,14, 95% KI 1,11–1,17) waren je unabhängig assoziiert. Kombination höchstes Risiko (HR 1,53, 95% KI 1,46–1,61) mit Hinweis auf additive Interaktion (RERI 0,11, 95% KI 0,03–0,19). Multi-Omics-Analysen zeigen gemeinsame entzündliche und metabolische Mediatoren (Proteine, Metabolite).</w:t>
      </w:r>
    </w:p>
    <w:p>
      <w:r>
        <w:rPr>
          <w:b/>
          <w:sz w:val="19"/>
        </w:rPr>
        <w:t xml:space="preserve">Übertragbarkeit: </w:t>
      </w:r>
      <w:r>
        <w:rPr>
          <w:sz w:val="19"/>
        </w:rPr>
        <w:t>UK Biobank, vergleichbar zu Deutschland, aussagekräftige Versorgungsrelevanz</w:t>
      </w:r>
    </w:p>
    <w:p>
      <w:r>
        <w:rPr>
          <w:color w:val="5A7D3A"/>
          <w:sz w:val="18"/>
        </w:rPr>
        <w:t>https://pubmed.ncbi.nlm.nih.gov/42642342/</w:t>
      </w:r>
    </w:p>
    <w:p>
      <w:pPr>
        <w:pStyle w:val="Heading1"/>
      </w:pPr>
      <w:r>
        <w:t>Aufgenommen am 10.10.2026</w:t>
      </w:r>
    </w:p>
    <w:p>
      <w:pPr>
        <w:pStyle w:val="Heading2"/>
      </w:pPr>
      <w:r>
        <w:t>Strukturiertes Adipositas-Programm im häuslichen Umfeld via Medicaid möglich</w:t>
      </w:r>
    </w:p>
    <w:p>
      <w:r>
        <w:rPr>
          <w:i/>
          <w:color w:val="666666"/>
          <w:sz w:val="18"/>
        </w:rPr>
        <w:t>Button AM et al.  ·  Transl Behav Med  ·  07.01.2026  ·  PMID 42853644</w:t>
      </w:r>
    </w:p>
    <w:p>
      <w:r>
        <w:t>Demonstrationsprojekt: Beweise-basiertes 12-Monatsprogramm PATH in Häusern von Kindern (6–12 Jahre, BMI ≥95. Perzentil) durch Home-Health-Fachkräfte integriert, über Medicaid abgerechnet; Dokumentation von Adaptionen gemäß FRAME-IS.</w:t>
      </w:r>
    </w:p>
    <w:p>
      <w:r>
        <w:rPr>
          <w:b/>
        </w:rPr>
        <w:t xml:space="preserve">Ergebnis: </w:t>
      </w:r>
      <w:r>
        <w:t>10 Familien mit durchschnittlich 8±7 Sitzungen (Spanne 2–21). BMI-Perzentil stabilisiert, systolischer Blutdruck verbessert (n=5 nach 6 Monaten), Lebensqualität gewonnen. Hauptproblem: Verbleib in Behandlung.</w:t>
      </w:r>
    </w:p>
    <w:p>
      <w:r>
        <w:rPr>
          <w:b/>
          <w:sz w:val="19"/>
        </w:rPr>
        <w:t xml:space="preserve">Übertragbarkeit: </w:t>
      </w:r>
      <w:r>
        <w:rPr>
          <w:sz w:val="19"/>
        </w:rPr>
        <w:t>USA, zeigt Machbarkeit von Versorgung im Wohnumfeld; deutsche Krankenkassen ersetzen solche Hausbesuche nicht systematisch.</w:t>
      </w:r>
    </w:p>
    <w:p>
      <w:r>
        <w:rPr>
          <w:color w:val="5A7D3A"/>
          <w:sz w:val="18"/>
        </w:rPr>
        <w:t>https://pubmed.ncbi.nlm.nih.gov/42853644/</w:t>
      </w:r>
    </w:p>
    <w:p>
      <w:pPr>
        <w:pStyle w:val="Heading2"/>
      </w:pPr>
      <w:r>
        <w:t>Schulbasierte Verhaltensintervention verringerte BMI-Anstieg bei Grundschülern</w:t>
      </w:r>
    </w:p>
    <w:p>
      <w:r>
        <w:rPr>
          <w:i/>
          <w:color w:val="666666"/>
          <w:sz w:val="18"/>
        </w:rPr>
        <w:t>Wang ML et al.  ·  JAMA Netw Open  ·  01.10.2026  ·  PMID 42853568</w:t>
      </w:r>
    </w:p>
    <w:p>
      <w:r>
        <w:t>Cluster-randomisierte Studie an 437 Schulkindern (8–13 Jahre) in Boys &amp; Girls Clubs: 12 Sitzungen zur Reduktion zuckerhaltiger Getränke über 6 Wochen, vergleichend zu Regelangebot.</w:t>
      </w:r>
    </w:p>
    <w:p>
      <w:r>
        <w:rPr>
          <w:b/>
        </w:rPr>
        <w:t xml:space="preserve">Ergebnis: </w:t>
      </w:r>
      <w:r>
        <w:t>Nach 12 Monaten war der zBMI-Anstieg in der Interventionsgruppe um 0,19 SD geringer als in der Kontrollgruppe (adjustierte Differenz -0,19; 95%-KI -0,38 bis -0,01; p=0,04). Die Intervention vermied eine weitere Gewichtszunahme, wirkte aber nicht auf die Getränkeaufnahme aus.</w:t>
      </w:r>
    </w:p>
    <w:p>
      <w:r>
        <w:rPr>
          <w:b/>
          <w:sz w:val="19"/>
        </w:rPr>
        <w:t xml:space="preserve">Übertragbarkeit: </w:t>
      </w:r>
      <w:r>
        <w:rPr>
          <w:sz w:val="19"/>
        </w:rPr>
        <w:t>USA-Studie, aber Verhaltensansatz in Gemeinschaftseinrichtungen ist auf deutsche Schulen übertragbar.</w:t>
      </w:r>
    </w:p>
    <w:p>
      <w:r>
        <w:rPr>
          <w:color w:val="5A7D3A"/>
          <w:sz w:val="18"/>
        </w:rPr>
        <w:t>https://pubmed.ncbi.nlm.nih.gov/42853568/</w:t>
      </w:r>
    </w:p>
    <w:p>
      <w:pPr>
        <w:pStyle w:val="Heading2"/>
      </w:pPr>
      <w:r>
        <w:t>Wissen und Einstellung von Eltern bestimmen Kindergewichtsmanagement stärker als Wissensvermittlung</w:t>
      </w:r>
    </w:p>
    <w:p>
      <w:r>
        <w:rPr>
          <w:i/>
          <w:color w:val="666666"/>
          <w:sz w:val="18"/>
        </w:rPr>
        <w:t>Wei L et al.  ·  Front Public Health  ·  24.09.2026  ·  PMID 42851382</w:t>
      </w:r>
    </w:p>
    <w:p>
      <w:r>
        <w:t>Querschnittsstudie bei 572 Eltern von Schulkindern in Südwest-China: Erfassung von Wissen, Einstellungen und Praktiken (KAP) zum Kindergewicht; Mediationsanalyse zwischen Politik, Wissen, Einstellung und Handlung.</w:t>
      </w:r>
    </w:p>
    <w:p>
      <w:r>
        <w:rPr>
          <w:b/>
        </w:rPr>
        <w:t xml:space="preserve">Ergebnis: </w:t>
      </w:r>
      <w:r>
        <w:t>Negative Einstellungen (aOR 5,32; 95%-KI 3,45–8,28), Unkenntnis der Gewichtspolitik (aOR 1,98; 95%-KI 1,31–3,00) und unkontrolliertes Essen (aOR 1,70; 95%-KI 1,13–2,57) waren Prädiktoren schlechter Praktiken. Einstellung mediierte 27,7% des Effekts der Politikkenntnis auf Praktiken.</w:t>
      </w:r>
    </w:p>
    <w:p>
      <w:r>
        <w:rPr>
          <w:b/>
          <w:sz w:val="19"/>
        </w:rPr>
        <w:t xml:space="preserve">Übertragbarkeit: </w:t>
      </w:r>
      <w:r>
        <w:rPr>
          <w:sz w:val="19"/>
        </w:rPr>
        <w:t>China, aber zeigt strukturelle Barriere: Wissensvermittlung allein ändert Familienpraxis nicht ohne Einstellungsänderung.</w:t>
      </w:r>
    </w:p>
    <w:p>
      <w:r>
        <w:rPr>
          <w:color w:val="5A7D3A"/>
          <w:sz w:val="18"/>
        </w:rPr>
        <w:t>https://pubmed.ncbi.nlm.nih.gov/42851382/</w:t>
      </w:r>
    </w:p>
    <w:p>
      <w:pPr>
        <w:pStyle w:val="Heading2"/>
      </w:pPr>
      <w:r>
        <w:t>Kardiorenales Metabolisches Syndrom gestaffelt Risiko für Herzinfarkt und Leberfolgen über alle Fettleberformen</w:t>
      </w:r>
    </w:p>
    <w:p>
      <w:r>
        <w:rPr>
          <w:i/>
          <w:color w:val="666666"/>
          <w:sz w:val="18"/>
        </w:rPr>
        <w:t>Fan QY et al.  ·  Med  ·  09.10.2026  ·  PMID 42716008</w:t>
      </w:r>
    </w:p>
    <w:p>
      <w:r>
        <w:t>UK-Biobank-Kohortenstudie mit 142.564 Personen mit steatolischen Lebererkrankungen: Stratifikation nach kardiorenales metabolisches Syndrom (CKM)-Stadium (0–4); Messung inzidenter kardiovaskulärer (MACE) und leberassoziierter Ereignisse (LRE) über 14,7 Jahre.</w:t>
      </w:r>
    </w:p>
    <w:p>
      <w:r>
        <w:rPr>
          <w:b/>
        </w:rPr>
        <w:t xml:space="preserve">Ergebnis: </w:t>
      </w:r>
      <w:r>
        <w:t>Höheres CKM-Stadium war dosisabhängig mit höherem MACE- und LRE-Risiko verknüpft (CKM-Stadien 2–4 vs. 0–1: adjustierte HR 1,51–3,62 für MACE, 1,28–2,32 für LRE). Adipositas und Hypertonie waren die stärksten Populationsattribute (bis 22,8% PAR für LRE); Diabetes trug mehr zu LRE bei (17,5% vs. 7,9% MACE).</w:t>
      </w:r>
    </w:p>
    <w:p>
      <w:r>
        <w:rPr>
          <w:b/>
          <w:sz w:val="19"/>
        </w:rPr>
        <w:t xml:space="preserve">Übertragbarkeit: </w:t>
      </w:r>
      <w:r>
        <w:rPr>
          <w:sz w:val="19"/>
        </w:rPr>
        <w:t>UK Biobank, deutsches Versicherungssystem vergleichbar; zeigt Klassifikation von Risiko als Versorgungsaufgabe.</w:t>
      </w:r>
    </w:p>
    <w:p>
      <w:r>
        <w:rPr>
          <w:color w:val="5A7D3A"/>
          <w:sz w:val="18"/>
        </w:rPr>
        <w:t>https://pubmed.ncbi.nlm.nih.gov/42716008/</w:t>
      </w:r>
    </w:p>
    <w:p>
      <w:pPr>
        <w:pStyle w:val="Heading2"/>
      </w:pPr>
      <w:r>
        <w:t>GLP-1-Agonisten im NHS limitiert, private Versorgung verstärkt Ungleichheit</w:t>
      </w:r>
    </w:p>
    <w:p>
      <w:r>
        <w:rPr>
          <w:i/>
          <w:color w:val="666666"/>
          <w:sz w:val="18"/>
        </w:rPr>
        <w:t>Boocock RC  ·  Nurs Stand  ·  30.09.2026  ·  PMID 42676263</w:t>
      </w:r>
    </w:p>
    <w:p>
      <w:r>
        <w:t>Übersichtsartikel zu GLP-1-Rezeptoragonisten und Dual-GIP/GLP-1-Agonisten: Wirkungsmechanismen, Sicherheitsrisiken (Unterernährung, Muskelverlust, Wiederzunahme nach Absetzen), Rolle der Pflege bei Mikronährstoffen und Verhaltensänderung.</w:t>
      </w:r>
    </w:p>
    <w:p>
      <w:r>
        <w:rPr>
          <w:b/>
        </w:rPr>
        <w:t xml:space="preserve">Ergebnis: </w:t>
      </w:r>
      <w:r>
        <w:t>NHS-Zugang zu GLP-1-Agonisten begrenzt auf höhere Risikopatienten; großer Anteil mit privaten Zahlungen behandelt. Dies verschärft bestehende Gesundheitsungleichheiten bei Adipositas. Pflegefachkräfte haben entscheidende Rolle bei Unterstützung von Proteinaufnahme, Bewegung und Verhaltensänderung zur Sicherung langfristiger Ergebnisse.</w:t>
      </w:r>
    </w:p>
    <w:p>
      <w:r>
        <w:rPr>
          <w:b/>
          <w:sz w:val="19"/>
        </w:rPr>
        <w:t xml:space="preserve">Übertragbarkeit: </w:t>
      </w:r>
      <w:r>
        <w:rPr>
          <w:sz w:val="19"/>
        </w:rPr>
        <w:t>UK-System, aber direkt übertragbar: auch in Deutschland (§34 SGB V) ist GLP-1 für Adipositas nicht erstattungsfähig, private Zahlungen driften Systemungleichheit auf.</w:t>
      </w:r>
    </w:p>
    <w:p>
      <w:r>
        <w:rPr>
          <w:color w:val="5A7D3A"/>
          <w:sz w:val="18"/>
        </w:rPr>
        <w:t>https://pubmed.ncbi.nlm.nih.gov/42676263/</w:t>
      </w:r>
    </w:p>
    <w:p>
      <w:pPr>
        <w:pStyle w:val="Heading2"/>
      </w:pPr>
      <w:r>
        <w:t>Magenbypass-Reversal bei therapierefraktären Komplikationen: schwache Symptomverbesserung trotz besserer Ernährung</w:t>
      </w:r>
    </w:p>
    <w:p>
      <w:r>
        <w:rPr>
          <w:i/>
          <w:color w:val="666666"/>
          <w:sz w:val="18"/>
        </w:rPr>
        <w:t>Noci MVR et al.  ·  Obes Surg  ·  28.08.2026  ·  PMID 42663940</w:t>
      </w:r>
    </w:p>
    <w:p>
      <w:r>
        <w:t>Retrospektive Fallserie an britischem Tertiar-Zentrum (2019–2026): 8 Patienten mit Magenbypass-Reversal wegen chronischer Komplikationen (anastomotische Probleme, innere Hernien, Dumping). Median 4,5 Jahre bis Reversal mit medianen Nachuntersuchungen von 17 Monaten (IQR 6–24).</w:t>
      </w:r>
    </w:p>
    <w:p>
      <w:r>
        <w:rPr>
          <w:b/>
        </w:rPr>
        <w:t xml:space="preserve">Ergebnis: </w:t>
      </w:r>
      <w:r>
        <w:t>Post-Reversal: BMI stieg von 21 (IQR 17,3–27) auf 29 kg/m² (IQR 23,1–33), Albumin von 30 auf 38 g/L (IQR 32–41). Symptomrelief inkonsistent: anhaltende abdominelle Schmerzen 7/8, Reflux 4/5, Dysphagie 4/7, schlechte orale Aufnahme 3/7, Erbrechen 3/8. Postoperative Komplikationen: anastomotische Leckagen, Ulzera, Narbenbruchhernen.</w:t>
      </w:r>
    </w:p>
    <w:p>
      <w:r>
        <w:rPr>
          <w:b/>
          <w:sz w:val="19"/>
        </w:rPr>
        <w:t xml:space="preserve">Übertragbarkeit: </w:t>
      </w:r>
      <w:r>
        <w:rPr>
          <w:sz w:val="19"/>
        </w:rPr>
        <w:t>UK-Tertiar-Zentrum, deutsches Adipositas-Chirurgie-System vergleichbar; zeigt Grenzfrage: wann hat Reversal noch Nutzen?</w:t>
      </w:r>
    </w:p>
    <w:p>
      <w:r>
        <w:rPr>
          <w:color w:val="5A7D3A"/>
          <w:sz w:val="18"/>
        </w:rPr>
        <w:t>https://pubmed.ncbi.nlm.nih.gov/42663940/</w:t>
      </w:r>
    </w:p>
    <w:p>
      <w:pPr>
        <w:pStyle w:val="Heading2"/>
      </w:pPr>
      <w:r>
        <w:t>Mütterlicher Gestationsdiabetes verknüpft mit erhöhter Fettmasse in Kindheit und Jugend</w:t>
      </w:r>
    </w:p>
    <w:p>
      <w:r>
        <w:rPr>
          <w:i/>
          <w:color w:val="666666"/>
          <w:sz w:val="18"/>
        </w:rPr>
        <w:t>Du J et al.  ·  Diabetes Obes Metab  ·  25.08.2026  ·  PMID 42642339</w:t>
      </w:r>
    </w:p>
    <w:p>
      <w:r>
        <w:t>Longitudinalstudie des Millennium Cohort Study mit 14.329 Kindern (davon 170 mit GDM-Exposition): Körperzusammensetzung (Fett, fettfreie Masse, Verhältnisse) in vier Perioden von Alter 7–17 Jahren gemessen, lineare Mischmodelle für Trajektorien gerechnet.</w:t>
      </w:r>
    </w:p>
    <w:p>
      <w:r>
        <w:rPr>
          <w:b/>
        </w:rPr>
        <w:t xml:space="preserve">Ergebnis: </w:t>
      </w:r>
      <w:r>
        <w:t>GDM-exponierte Kinder zeigten über alle Altersgruppen höhere Fettmasse (FM), Fettmassindex (FMI) und FMI/FFMI-Verhältnis; altersabhängige Zwischen-Gruppen-Unterschiede (p&lt;0,05 für FM, FMI, Verhältnis). Nach Adjustierung für mütterliche Adipositas vor der Schwangerschaft wurden Effekte abgeschwächt, Muster blieben aber sichtbar.</w:t>
      </w:r>
    </w:p>
    <w:p>
      <w:r>
        <w:rPr>
          <w:b/>
          <w:sz w:val="19"/>
        </w:rPr>
        <w:t xml:space="preserve">Übertragbarkeit: </w:t>
      </w:r>
      <w:r>
        <w:rPr>
          <w:sz w:val="19"/>
        </w:rPr>
        <w:t>Großbritannien, vergleichbar deutsches Gesundheitssystem; zeigt pränatale Prävention als langfristige Versorgungsfrage.</w:t>
      </w:r>
    </w:p>
    <w:p>
      <w:r>
        <w:rPr>
          <w:color w:val="5A7D3A"/>
          <w:sz w:val="18"/>
        </w:rPr>
        <w:t>https://pubmed.ncbi.nlm.nih.gov/42642339/</w:t>
      </w:r>
    </w:p>
    <w:p>
      <w:pPr>
        <w:pStyle w:val="Heading1"/>
      </w:pPr>
      <w:r>
        <w:t>Aufgenommen am 09.10.2026</w:t>
      </w:r>
    </w:p>
    <w:p>
      <w:pPr>
        <w:pStyle w:val="Heading2"/>
      </w:pPr>
      <w:r>
        <w:t>Adipositasversorgung in der Primärmedizin: Finanzierungs- und Zeitbarrieren hemmen Prävention</w:t>
      </w:r>
    </w:p>
    <w:p>
      <w:r>
        <w:rPr>
          <w:i/>
          <w:color w:val="666666"/>
          <w:sz w:val="18"/>
        </w:rPr>
        <w:t>South TL et al.  ·  Aust J Gen Pract  ·  Okt. 2026  ·  PMID 42849427</w:t>
      </w:r>
    </w:p>
    <w:p>
      <w:r>
        <w:t>Nationale Online-Umfrage von 943 australischen Allgemeinmedizinern November 2023–Februar 2024 zu Engagement, Strategien, Barrieren und Befähigern in der Adipositasversorgung sowie Schulungsbedarf.</w:t>
      </w:r>
    </w:p>
    <w:p>
      <w:r>
        <w:rPr>
          <w:b/>
        </w:rPr>
        <w:t xml:space="preserve">Ergebnis: </w:t>
      </w:r>
      <w:r>
        <w:t>55,7 % der Hausärzte sprechen häufig über Gewicht, 91,6 % geben Ernährungs- und Lebensstilratschläge, aber nur 12,7 % haben formale Adipositas-Schulung. Hauptbarrieren: unzureichende Medicare-Vergütung (MBS) für Konsultationen, unerschwingliche Adipositaspharmakotherapie, mangelnde MBS-Pläne zur chronischen Krankheitsbehandlung, konkurrierende Prioritäten und Zeitmangel. Befähiger: erhöhte MBS-Finanzierung, PBS-Zugang zu Adipositasmedikamenten, bessere Klinikanbindung, Schulung.</w:t>
      </w:r>
    </w:p>
    <w:p>
      <w:r>
        <w:rPr>
          <w:b/>
          <w:sz w:val="19"/>
        </w:rPr>
        <w:t xml:space="preserve">Übertragbarkeit: </w:t>
      </w:r>
      <w:r>
        <w:rPr>
          <w:sz w:val="19"/>
        </w:rPr>
        <w:t>Australien hat ähnliches Versicherungssystem, aber andere Leistungskataloge; Barrieren-Befunde teilweise auf Deutschland übertragbar.</w:t>
      </w:r>
    </w:p>
    <w:p>
      <w:r>
        <w:rPr>
          <w:color w:val="5A7D3A"/>
          <w:sz w:val="18"/>
        </w:rPr>
        <w:t>https://pubmed.ncbi.nlm.nih.gov/42849427/</w:t>
      </w:r>
    </w:p>
    <w:p>
      <w:pPr>
        <w:pStyle w:val="Heading2"/>
      </w:pPr>
      <w:r>
        <w:t>Ländliches Wellness-Programm verringerte Taillenumfang um 0,19 Zoll und diastolischen Druck um 3,38 mmHg</w:t>
      </w:r>
    </w:p>
    <w:p>
      <w:r>
        <w:rPr>
          <w:i/>
          <w:color w:val="666666"/>
          <w:sz w:val="18"/>
        </w:rPr>
        <w:t>Baus A et al.  ·  J Prim Care Community Health  ·  08.10.2026  ·  PMID 42849056</w:t>
      </w:r>
    </w:p>
    <w:p>
      <w:r>
        <w:t>Retrospektive Evaluierung von 585 aktiven Teilnehmern eines krankenhausgestützten Wellness-Programms (Prescription for Your Health, P4YH) in ländlichem West-Virginia mit Messung kardiometabolischer Parameter in Paardaten-Analysen.</w:t>
      </w:r>
    </w:p>
    <w:p>
      <w:r>
        <w:rPr>
          <w:b/>
        </w:rPr>
        <w:t xml:space="preserve">Ergebnis: </w:t>
      </w:r>
      <w:r>
        <w:t>Taillenumfang sank um 0,19 Zoll (95%-KI –0,34 bis –0,03; p=0,0174), diastolischer Blutdruck um 3,38 mmHg (95%-KI –4,54 bis –2,21; p&lt;0,0001). Bei Diabetikern mit gepaarten HbA1c-Messungen (n=56) sank HbA1c um 0,25 Prozentpunkte (95%-KI –0,44 bis –0,06; p=0,0106), bei initialen HbA1c ≥7,0 % um 0,65 Prozentpunkte (95%-KI –1,00 bis –0,29; p=0,0010). Andere kardiometabolische Outcomes änderten sich nicht signifikant.</w:t>
      </w:r>
    </w:p>
    <w:p>
      <w:r>
        <w:rPr>
          <w:b/>
          <w:sz w:val="19"/>
        </w:rPr>
        <w:t xml:space="preserve">Übertragbarkeit: </w:t>
      </w:r>
      <w:r>
        <w:rPr>
          <w:sz w:val="19"/>
        </w:rPr>
        <w:t>USA mit anderer Versicherungsfinanzierung, aber Programm-Modell für strukturierte Nachsorge in Primärversorgung ist übertragbar.</w:t>
      </w:r>
    </w:p>
    <w:p>
      <w:r>
        <w:rPr>
          <w:color w:val="5A7D3A"/>
          <w:sz w:val="18"/>
        </w:rPr>
        <w:t>https://pubmed.ncbi.nlm.nih.gov/42849056/</w:t>
      </w:r>
    </w:p>
    <w:p>
      <w:pPr>
        <w:pStyle w:val="Heading2"/>
      </w:pPr>
      <w:r>
        <w:t>Kinderübergewicht in Spanien: 15 Jahre Überwachung durch COSI und ALADINO-Studie</w:t>
      </w:r>
    </w:p>
    <w:p>
      <w:r>
        <w:rPr>
          <w:i/>
          <w:color w:val="666666"/>
          <w:sz w:val="18"/>
        </w:rPr>
        <w:t>Giménez Alba IM et al.  ·  Rev Esp Salud Publica  ·  05.10.2026  ·  PMID 42847331</w:t>
      </w:r>
    </w:p>
    <w:p>
      <w:r>
        <w:t>Analyse der Prävalenz von Übergewicht und Adipositas bei 6–9-jährigen Kindern in Spanien über 15 Jahre mit standardisierten anthropometrischen Methoden im Rahmen der WHO-Surveillance Initiative COSI.</w:t>
      </w:r>
    </w:p>
    <w:p>
      <w:r>
        <w:rPr>
          <w:b/>
        </w:rPr>
        <w:t xml:space="preserve">Ergebnis: </w:t>
      </w:r>
      <w:r>
        <w:t>In der letzten Runde (2022–2023) mit 12.684 Kindern betrug die Übergewichtsprävalenz 33,6 % im Alter 6 Jahre und 40,5 % im Alter 9 Jahre, Adipositas 14,1 % bzw. 18,8 %. Trotz eines der größten Rückgänge zwischen Runde 5 und 6 zählt Spanien weiterhin zu den Ländern mit höchsten Prävalenzraten in der Region. Strukturierte Prävention durch intersektorale Politik mit Bewegungsförderung zeigt Fortschritte.</w:t>
      </w:r>
    </w:p>
    <w:p>
      <w:r>
        <w:rPr>
          <w:b/>
          <w:sz w:val="19"/>
        </w:rPr>
        <w:t xml:space="preserve">Übertragbarkeit: </w:t>
      </w:r>
      <w:r>
        <w:rPr>
          <w:sz w:val="19"/>
        </w:rPr>
        <w:t>Europäische Standardisierung und nationale Repräsentativität ermöglichen Übertragung auf deutschsprachigen Raum.</w:t>
      </w:r>
    </w:p>
    <w:p>
      <w:r>
        <w:rPr>
          <w:color w:val="5A7D3A"/>
          <w:sz w:val="18"/>
        </w:rPr>
        <w:t>https://pubmed.ncbi.nlm.nih.gov/42847331/</w:t>
      </w:r>
    </w:p>
    <w:p>
      <w:pPr>
        <w:pStyle w:val="Heading2"/>
      </w:pPr>
      <w:r>
        <w:t>Adipositas bei Nierenleiden: Chirurgische Komplikationen höher, Langzeitüberleben gleich</w:t>
      </w:r>
    </w:p>
    <w:p>
      <w:r>
        <w:rPr>
          <w:i/>
          <w:color w:val="666666"/>
          <w:sz w:val="18"/>
        </w:rPr>
        <w:t>Melera E et al.  ·  Clin Transplant  ·  Okt. 2026  ·  PMID 42839226</w:t>
      </w:r>
    </w:p>
    <w:p>
      <w:r>
        <w:t>Retrospektive Kohortenstudie von 953 erwachsenen Nieren-Transplantierten (150 adipös, BMI ≥30 kg/m²) in der Schweiz von 1999–2023 mit Nachverfolgung chirurgischer und funktioneller Ergebnisse.</w:t>
      </w:r>
    </w:p>
    <w:p>
      <w:r>
        <w:rPr>
          <w:b/>
        </w:rPr>
        <w:t xml:space="preserve">Ergebnis: </w:t>
      </w:r>
      <w:r>
        <w:t>Adipöse Empfänger zeigten erhöhte Raten für chirurgische Infektionen (11 % vs. 3 %, p&lt;0,001), Lymphozelen (18 % vs. 10 %, p=0,007), Inkarzeral-Hernien (10 % vs. 5 %, p=0,032), längerer Krankenhausaufenthalt (19 vs. 17 Tage, p=0,038) und verzögerter Transplantatfunktion (21 % vs. 14 %, p=0,024). Patienten- und transplantatüberleben nach 7,3 Jahren Medianfolge unterschieden sich nicht signifikant. Adipositas sollte keine Kontraindikation sein.</w:t>
      </w:r>
    </w:p>
    <w:p>
      <w:r>
        <w:rPr>
          <w:b/>
          <w:sz w:val="19"/>
        </w:rPr>
        <w:t xml:space="preserve">Übertragbarkeit: </w:t>
      </w:r>
      <w:r>
        <w:rPr>
          <w:sz w:val="19"/>
        </w:rPr>
        <w:t>Europäisches Versicherungssystem mit vergleichbarer Einzelfallgenehmigung für Organtransplantation; direkt auf DACH übertragbar.</w:t>
      </w:r>
    </w:p>
    <w:p>
      <w:r>
        <w:rPr>
          <w:color w:val="5A7D3A"/>
          <w:sz w:val="18"/>
        </w:rPr>
        <w:t>https://pubmed.ncbi.nlm.nih.gov/42839226/</w:t>
      </w:r>
    </w:p>
    <w:p>
      <w:pPr>
        <w:pStyle w:val="Heading2"/>
      </w:pPr>
      <w:r>
        <w:t>Mini-Magenbyppass bei schwerer Adipositas: Remission von Diabetes in 84 %</w:t>
      </w:r>
    </w:p>
    <w:p>
      <w:r>
        <w:rPr>
          <w:i/>
          <w:color w:val="666666"/>
          <w:sz w:val="18"/>
        </w:rPr>
        <w:t>Shumkov OA et al.  ·  Khirurgiia (Mosk)  ·  2026  ·  PMID 42831339</w:t>
      </w:r>
    </w:p>
    <w:p>
      <w:r>
        <w:t>Retrospektive 3-Jahres-Nachverfolgung von 17 Patienten mit schwerem Übergewicht (Ausgangs-BMI 64,28 kg/m²) nach One-Anastomosis-Mini-Gastric-Bypass mit Messung metabolischer Parameter und Komorbiditäten.</w:t>
      </w:r>
    </w:p>
    <w:p>
      <w:r>
        <w:rPr>
          <w:b/>
        </w:rPr>
        <w:t xml:space="preserve">Ergebnis: </w:t>
      </w:r>
      <w:r>
        <w:t>Gesamtgewichtsverlust Median 37,6 kg, Gewichtsverlust über Normalgewicht Median 57,3 kg. Diabetesremission in 84 %, Remission von Schlafapnoe-Symptomen in 94,1 %, normaler Blutdruck oder reduzierte Medikation in 50 %, Normalisierung von LDL oder Statin-Dosisreduktion in 79 %. Minimal frühe postoperative Komplikationen.</w:t>
      </w:r>
    </w:p>
    <w:p>
      <w:r>
        <w:rPr>
          <w:b/>
          <w:sz w:val="19"/>
        </w:rPr>
        <w:t xml:space="preserve">Übertragbarkeit: </w:t>
      </w:r>
      <w:r>
        <w:rPr>
          <w:sz w:val="19"/>
        </w:rPr>
        <w:t>Russische Fallserie mit kleiner Stichprobe; begrenzte Aussagekraft für deutsche Versorgungsrealität.</w:t>
      </w:r>
    </w:p>
    <w:p>
      <w:r>
        <w:rPr>
          <w:color w:val="5A7D3A"/>
          <w:sz w:val="18"/>
        </w:rPr>
        <w:t>https://pubmed.ncbi.nlm.nih.gov/42831339/</w:t>
      </w:r>
    </w:p>
    <w:p>
      <w:pPr>
        <w:pStyle w:val="Heading2"/>
      </w:pPr>
      <w:r>
        <w:t>Wirtschaftslast von Übergewicht und Adipositas in Schweden: 7 Mrd. EUR 2023, Projektion auf 8,6 Mrd. EUR 2040</w:t>
      </w:r>
    </w:p>
    <w:p>
      <w:r>
        <w:rPr>
          <w:i/>
          <w:color w:val="666666"/>
          <w:sz w:val="18"/>
        </w:rPr>
        <w:t>Fridhammar A et al.  ·  Diabetes Obes Metab  ·  09.08.2026  ·  PMID 42572006</w:t>
      </w:r>
    </w:p>
    <w:p>
      <w:r>
        <w:t>Prävalenz-basierte Kostenanalyse in Schweden 2023 unter Gesellschaftsperspektive mit Hochrechnung auf 2040 unter Szenarien steigender Prävalenz; Einschluss von Gesundheitswesen, Sozialleistungen, Pharmaka, Produktivitätsausfällen und informeller Pflege.</w:t>
      </w:r>
    </w:p>
    <w:p>
      <w:r>
        <w:rPr>
          <w:b/>
        </w:rPr>
        <w:t xml:space="preserve">Ergebnis: </w:t>
      </w:r>
      <w:r>
        <w:t>Gesamtlast 2023: ≈7 Mrd. EUR (664 EUR pro Kopf); 2,6 Mrd. EUR Übergewicht, 4,4 Mrd. EUR Adipositas. Produktivitätsverluste 71 % der Kosten, Gesundheitsausgaben 21 %, Pharmaka/informelle Pflege/Soziales 8 %. Projektion 2040: 7,2 Mrd. EUR (Demografie allein) bis 8,6 Mrd. EUR (steigende Prävalenz). Ein Prozentpunkt weniger Adipositas-Prävalenz würde demografische Steigerung aufheben.</w:t>
      </w:r>
    </w:p>
    <w:p>
      <w:r>
        <w:rPr>
          <w:b/>
          <w:sz w:val="19"/>
        </w:rPr>
        <w:t xml:space="preserve">Übertragbarkeit: </w:t>
      </w:r>
      <w:r>
        <w:rPr>
          <w:sz w:val="19"/>
        </w:rPr>
        <w:t>Nordeuropäisches Versicherungssystem mit ähnlichem Gesundheitsauftrag und Finanzierungsstruktur wie Deutschland; direkt vergleichbar.</w:t>
      </w:r>
    </w:p>
    <w:p>
      <w:r>
        <w:rPr>
          <w:color w:val="5A7D3A"/>
          <w:sz w:val="18"/>
        </w:rPr>
        <w:t>https://pubmed.ncbi.nlm.nih.gov/42572006/</w:t>
      </w:r>
    </w:p>
    <w:p>
      <w:pPr>
        <w:pStyle w:val="Heading1"/>
      </w:pPr>
      <w:r>
        <w:t>Aufgenommen am 08.10.2026</w:t>
      </w:r>
    </w:p>
    <w:p>
      <w:pPr>
        <w:pStyle w:val="Heading2"/>
      </w:pPr>
      <w:r>
        <w:t>GLP-1-Rezeptoragonisten und SGLT2-Inhibitoren: Disparitäten beim Zugang bleiben</w:t>
      </w:r>
    </w:p>
    <w:p>
      <w:r>
        <w:rPr>
          <w:i/>
          <w:color w:val="666666"/>
          <w:sz w:val="18"/>
        </w:rPr>
        <w:t>Chu AH et al.  ·  Curr Cardiol Rep  ·  07.10.2026  ·  PMID 42842171</w:t>
      </w:r>
    </w:p>
    <w:p>
      <w:r>
        <w:t>Systematischer Review von 100 US-Studien (2013–2026) zu Ungleichheiten in Verordnung und Initiierung von GLP-1RA und SGLT2i zur kardiovaskulären, nierenschützenden und metabolischen Therapie.</w:t>
      </w:r>
    </w:p>
    <w:p>
      <w:r>
        <w:rPr>
          <w:b/>
        </w:rPr>
        <w:t xml:space="preserve">Ergebnis: </w:t>
      </w:r>
      <w:r>
        <w:t>Persistent verringerte Verordnungsraten für Black und Hispanic patients, Medicaid-Versicherte, niedrigere Einkommensgruppen und ältere Erwachsene trotig gestiegener Verordnungen nach Landmark-Trials. Barrieren spanning gesellschaftlich-politische, Gesundheitssystem-, Anbieter-, Patienten- und therapiebezogene Ebenen. Das Equity-First-Framework identifiziert Monitoring, gerechte Zugangsstrukturen und Kliniker-Support als Implementierungsmaßnahmen.</w:t>
      </w:r>
    </w:p>
    <w:p>
      <w:r>
        <w:rPr>
          <w:b/>
          <w:sz w:val="19"/>
        </w:rPr>
        <w:t xml:space="preserve">Übertragbarkeit: </w:t>
      </w:r>
      <w:r>
        <w:rPr>
          <w:sz w:val="19"/>
        </w:rPr>
        <w:t>USA - Kostenübernahme und Zugang sind dort anders als in Deutschland (§34 SGB V)</w:t>
      </w:r>
    </w:p>
    <w:p>
      <w:r>
        <w:rPr>
          <w:color w:val="5A7D3A"/>
          <w:sz w:val="18"/>
        </w:rPr>
        <w:t>https://pubmed.ncbi.nlm.nih.gov/42842171/</w:t>
      </w:r>
    </w:p>
    <w:p>
      <w:pPr>
        <w:pStyle w:val="Heading2"/>
      </w:pPr>
      <w:r>
        <w:t>Betain-Supplementation: begrenzte Effekte auf Mitochondrien und antioxidative Abwehr</w:t>
      </w:r>
    </w:p>
    <w:p>
      <w:r>
        <w:rPr>
          <w:i/>
          <w:color w:val="666666"/>
          <w:sz w:val="18"/>
        </w:rPr>
        <w:t>Zawieja E et al.  ·  Eur J Nutr  ·  07.10.2026  ·  PMID 42841999</w:t>
      </w:r>
    </w:p>
    <w:p>
      <w:r>
        <w:t>Randomisierte, placebokontrollierte 8-Wochen-Studie bei 93 übergewichtigen oder adipösen prämenopausalen Frauen zu Effekten von Betain (3 g/Tag) auf mitochondriale und Redox-Parameter in peripheren Blutlymphozyten.</w:t>
      </w:r>
    </w:p>
    <w:p>
      <w:r>
        <w:rPr>
          <w:b/>
        </w:rPr>
        <w:t xml:space="preserve">Ergebnis: </w:t>
      </w:r>
      <w:r>
        <w:t>Signifikante Treatment-x-Zeit-Interaktion für Citrat-Synthase (CS) in PBMCs (p = 0,043); Betain-Gruppe zeigte größere Steigerung als Placebo (zwischen-Gruppen-Differenz 102,3 μg/mg Protein, 95%-KI 3,19–201,4). Plasma-Katalase-Aktivität stieg signifikant nur unter Betain (p = 0,003). Keine signifikanten Effekte für COX, SOD, GPx oder GSSG. Interpretation: Selektive, biologisch bedeutsame Effekte bleiben unklar.</w:t>
      </w:r>
    </w:p>
    <w:p>
      <w:r>
        <w:rPr>
          <w:b/>
          <w:sz w:val="19"/>
        </w:rPr>
        <w:t xml:space="preserve">Übertragbarkeit: </w:t>
      </w:r>
      <w:r>
        <w:rPr>
          <w:sz w:val="19"/>
        </w:rPr>
        <w:t>Polen, europäisches Versicherungssystem, kleine Stichprobe begrenzt Übertragbarkeit</w:t>
      </w:r>
    </w:p>
    <w:p>
      <w:r>
        <w:rPr>
          <w:color w:val="5A7D3A"/>
          <w:sz w:val="18"/>
        </w:rPr>
        <w:t>https://pubmed.ncbi.nlm.nih.gov/42841999/</w:t>
      </w:r>
    </w:p>
    <w:p>
      <w:pPr>
        <w:pStyle w:val="Heading2"/>
      </w:pPr>
      <w:r>
        <w:t>Präoperatives Gewichtsverlust-Programm vor Darmkrebsoperation: hohe Akzeptanz trotz Hürden</w:t>
      </w:r>
    </w:p>
    <w:p>
      <w:r>
        <w:rPr>
          <w:i/>
          <w:color w:val="666666"/>
          <w:sz w:val="18"/>
        </w:rPr>
        <w:t>Talbot A et al.  ·  Health Expect  ·  Okt. 2026  ·  PMID 42841450</w:t>
      </w:r>
    </w:p>
    <w:p>
      <w:r>
        <w:t>Qualitative Studie (CARE-RCT) zu Akzeptanz und Erfahrungen von 31 Patienten (BMI 36 kg/m², Alter 65 Jahre) bei intensivem Gewichtsverlust-Programm mit Diätbegleitung zwischen Krebsdiagnose und Operation.</w:t>
      </w:r>
    </w:p>
    <w:p>
      <w:r>
        <w:rPr>
          <w:b/>
        </w:rPr>
        <w:t xml:space="preserve">Ergebnis: </w:t>
      </w:r>
      <w:r>
        <w:t>Patienten verstanden die Rationalität des Programms (technisch erleichterte OP, schnellere Entlassung). Dietitische Unterstützung förderte Adherence; Gewichtsverlust und Gesundheitsmarker verbesserten sich messbar. Allerdings minderten Familienbedenken zu Sicherheit, soziale Essgelegenheiten und Nebenwirkungen die Gesamtacceptance. Kollektive Widerstände überwogen teilweise Kohärenz und kognitives Engagement (Normalisierungs-Prozess-Theorie).</w:t>
      </w:r>
    </w:p>
    <w:p>
      <w:r>
        <w:rPr>
          <w:b/>
          <w:sz w:val="19"/>
        </w:rPr>
        <w:t xml:space="preserve">Übertragbarkeit: </w:t>
      </w:r>
      <w:r>
        <w:rPr>
          <w:sz w:val="19"/>
        </w:rPr>
        <w:t>UK, ähnliche Versorgungsstrukturen, qualitative Erkenntnisse zu Barrieren übertragbar</w:t>
      </w:r>
    </w:p>
    <w:p>
      <w:r>
        <w:rPr>
          <w:color w:val="5A7D3A"/>
          <w:sz w:val="18"/>
        </w:rPr>
        <w:t>https://pubmed.ncbi.nlm.nih.gov/42841450/</w:t>
      </w:r>
    </w:p>
    <w:p>
      <w:pPr>
        <w:pStyle w:val="Heading2"/>
      </w:pPr>
      <w:r>
        <w:t>Schwere Adipositas erhöht Kosten und Komplikationen nach Rückenoperation massiv</w:t>
      </w:r>
    </w:p>
    <w:p>
      <w:r>
        <w:rPr>
          <w:i/>
          <w:color w:val="666666"/>
          <w:sz w:val="18"/>
        </w:rPr>
        <w:t>Playter KP et al.  ·  Spine (Phila Pa 1976)  ·  01.11.2026  ·  PMID 42841378</w:t>
      </w:r>
    </w:p>
    <w:p>
      <w:r>
        <w:t>US-Kohortenstudie mit 56.897 Patienten zur Frage, wie schwere Adipositas (BMI ≥40) die 90-Tage-Episodenkosten und Outcomes nach lumbaler Dekompression beeinflusst (MarketScan-Daten 2018–2023).</w:t>
      </w:r>
    </w:p>
    <w:p>
      <w:r>
        <w:rPr>
          <w:b/>
        </w:rPr>
        <w:t xml:space="preserve">Ergebnis: </w:t>
      </w:r>
      <w:r>
        <w:t>Schwer adipöse Patienten (5,6 % der Kohorte) zeigten höhere Raten von Wiederaufnahme, ED-Besuche, 30- und 90-Tage-Komplikationen und Reoperation (alle p &lt; 0,001). Tag-der-OP-Kosten: 26.993 vs. 22.279 $ (p = 0,001); 30-Tage-Kosten: 30.316 vs. 24.551 $; 90-Tage-Kosten: 34.569 vs. 27.816 $ (alle p &lt; 0,001). Multivariabel vorhergesagt: erhöhte OP-Kosten (p = 0,013), Wundinfektionen (OR 1,90), Wunddehiszenz (OR 2,08).</w:t>
      </w:r>
    </w:p>
    <w:p>
      <w:r>
        <w:rPr>
          <w:b/>
          <w:sz w:val="19"/>
        </w:rPr>
        <w:t xml:space="preserve">Übertragbarkeit: </w:t>
      </w:r>
      <w:r>
        <w:rPr>
          <w:sz w:val="19"/>
        </w:rPr>
        <w:t>USA - Kostendaten aus privatem Versicherungssystem, Komplikationsmuster aber allgemeingültig</w:t>
      </w:r>
    </w:p>
    <w:p>
      <w:r>
        <w:rPr>
          <w:color w:val="5A7D3A"/>
          <w:sz w:val="18"/>
        </w:rPr>
        <w:t>https://pubmed.ncbi.nlm.nih.gov/42841378/</w:t>
      </w:r>
    </w:p>
    <w:p>
      <w:pPr>
        <w:pStyle w:val="Heading2"/>
      </w:pPr>
      <w:r>
        <w:t>Klinikvolumen senkte Komplikationen nach Magenbypass deutlich</w:t>
      </w:r>
    </w:p>
    <w:p>
      <w:r>
        <w:rPr>
          <w:i/>
          <w:color w:val="666666"/>
          <w:sz w:val="18"/>
        </w:rPr>
        <w:t>Bobotis S et al.  ·  Obes Surg  ·  22.09.2026  ·  PMID 42771207</w:t>
      </w:r>
    </w:p>
    <w:p>
      <w:r>
        <w:t>UK-Registerstudie mit 54.195 Adipositaschirurgie-Patienten (2014–2023) zum Zusammenhang zwischen Klinikvolumen (Jahresverfahren) und major complications nach RYGB, Sleeve oder OAGB.</w:t>
      </w:r>
    </w:p>
    <w:p>
      <w:r>
        <w:rPr>
          <w:b/>
        </w:rPr>
        <w:t xml:space="preserve">Ergebnis: </w:t>
      </w:r>
      <w:r>
        <w:t>Bei RYGB sank die Obstruktionsrate mit steigendem Klinikvolumen von 0,8 % (Quartil I) auf 0,2 % (Quartil IV, p &lt; 0,001). Höheres Volumen sagte unabhängig niedrigere Obstruktion (OR 0,31, 95%-KI 0,16–0,58; p &lt; 0,001) und Clavien-Dindo ≥III-Komplikationen voraus (OR 0,71, 95%-KI 0,51–0,99; p = 0,044). Bei Sleeve und OAGB zeigten sich über alle Volumenquartile günstige Ergebnisse ohne Volumen-Effekt.</w:t>
      </w:r>
    </w:p>
    <w:p>
      <w:r>
        <w:rPr>
          <w:b/>
          <w:sz w:val="19"/>
        </w:rPr>
        <w:t xml:space="preserve">Übertragbarkeit: </w:t>
      </w:r>
      <w:r>
        <w:rPr>
          <w:sz w:val="19"/>
        </w:rPr>
        <w:t>UK-Registerdaten, deutsches Versorgungssystem hat ähnliche Zentrumskonzentration</w:t>
      </w:r>
    </w:p>
    <w:p>
      <w:r>
        <w:rPr>
          <w:color w:val="5A7D3A"/>
          <w:sz w:val="18"/>
        </w:rPr>
        <w:t>https://pubmed.ncbi.nlm.nih.gov/42771207/</w:t>
      </w:r>
    </w:p>
    <w:p>
      <w:pPr>
        <w:pStyle w:val="Heading2"/>
      </w:pPr>
      <w:r>
        <w:t>Adipositaschirurgie senkte Medikamentenkosten und Krankheitslast deutlich</w:t>
      </w:r>
    </w:p>
    <w:p>
      <w:r>
        <w:rPr>
          <w:i/>
          <w:color w:val="666666"/>
          <w:sz w:val="18"/>
        </w:rPr>
        <w:t>Oliveira A et al.  ·  Obes Surg  ·  14.08.2026  ·  PMID 42599584</w:t>
      </w:r>
    </w:p>
    <w:p>
      <w:r>
        <w:t>Portugiesische Kohortenstudie zur Frage, ob Adipositaschirurgie (Magenbypass, Sleeve, OAGB) über 3 Jahre hinweg die Medikamentenkosten und die Krankheitslast bei Adipositas reduziert.</w:t>
      </w:r>
    </w:p>
    <w:p>
      <w:r>
        <w:rPr>
          <w:b/>
        </w:rPr>
        <w:t xml:space="preserve">Ergebnis: </w:t>
      </w:r>
      <w:r>
        <w:t>3 Jahre nach chirurgischer Intervention sanken die mittleren jährlichen Medikamentenkosten um 56,11 € pro Patient (p &lt; 0,05). Die Prävalenz von Hypertonie, Typ-2-Diabetes, Dyslipidämie und Asthma sank signifikant (alle p &lt; 0,05), die mittlere Krankheitslast (Years Lived with Disability) von 0,022 auf 0,014 (p &lt; 0,05). Damit zeigt sich eine nachhaltige Reduktion komorbider Lasten nach bariatrischer Intervention.</w:t>
      </w:r>
    </w:p>
    <w:p>
      <w:r>
        <w:rPr>
          <w:b/>
          <w:sz w:val="19"/>
        </w:rPr>
        <w:t xml:space="preserve">Übertragbarkeit: </w:t>
      </w:r>
      <w:r>
        <w:rPr>
          <w:sz w:val="19"/>
        </w:rPr>
        <w:t>Portugal, vergleichbares Sozialversicherungssystem wie Deutschland</w:t>
      </w:r>
    </w:p>
    <w:p>
      <w:r>
        <w:rPr>
          <w:color w:val="5A7D3A"/>
          <w:sz w:val="18"/>
        </w:rPr>
        <w:t>https://pubmed.ncbi.nlm.nih.gov/42599584/</w:t>
      </w:r>
    </w:p>
    <w:p>
      <w:pPr>
        <w:pStyle w:val="Heading1"/>
      </w:pPr>
      <w:r>
        <w:t>Aufgenommen am 07.10.2026</w:t>
      </w:r>
    </w:p>
    <w:p>
      <w:pPr>
        <w:pStyle w:val="Heading2"/>
      </w:pPr>
      <w:r>
        <w:t>GLP-1-Rezeptoragonisten bei Schlafapnoe: Reduktion um 10 Ereignisse pro Stunde</w:t>
      </w:r>
    </w:p>
    <w:p>
      <w:r>
        <w:rPr>
          <w:i/>
          <w:color w:val="666666"/>
          <w:sz w:val="18"/>
        </w:rPr>
        <w:t>Carvalhal G et al.  ·  Sleep Breath  ·  06.10.2026  ·  PMID 42837024</w:t>
      </w:r>
    </w:p>
    <w:p>
      <w:r>
        <w:t>Metaanalyse von 6 randomisierten kontrollierten Studien (n=1.069, 4× Liraglutid, 2× Tirzepatid) zu Effektivität und Sicherheit bei moderater bis schwerer obstruktiver Schlafapnoe.</w:t>
      </w:r>
    </w:p>
    <w:p>
      <w:r>
        <w:rPr>
          <w:b/>
        </w:rPr>
        <w:t xml:space="preserve">Ergebnis: </w:t>
      </w:r>
      <w:r>
        <w:t>GLP-1-Therapie reduzierte Apnoe-Hypopnoe-Index um −9,99 Ereignisse/Stunde (95%-KI: −16,47 bis −3,50, p&lt;0,01) und Körpergewicht um −9,68 kg (95%-KI: −15,84 bis −3,51, p&lt;0,01). Systolischer und diastolischer Blutdruck sanken um −4,77 bzw. −1,41 mmHg. Keine erhöhten unerwünschten Ereignisse.</w:t>
      </w:r>
    </w:p>
    <w:p>
      <w:r>
        <w:rPr>
          <w:b/>
          <w:sz w:val="19"/>
        </w:rPr>
        <w:t xml:space="preserve">Übertragbarkeit: </w:t>
      </w:r>
      <w:r>
        <w:rPr>
          <w:sz w:val="19"/>
        </w:rPr>
        <w:t>USA/international; Kostenfrage in Deutschland entscheidend – Paragraph 34 SGB V schließt Arzneimittel aus.</w:t>
      </w:r>
    </w:p>
    <w:p>
      <w:r>
        <w:rPr>
          <w:color w:val="5A7D3A"/>
          <w:sz w:val="18"/>
        </w:rPr>
        <w:t>https://pubmed.ncbi.nlm.nih.gov/42837024/</w:t>
      </w:r>
    </w:p>
    <w:p>
      <w:pPr>
        <w:pStyle w:val="Heading2"/>
      </w:pPr>
      <w:r>
        <w:t>Chaotisches Zuhause fördert emotionales Überessen bei Kindern</w:t>
      </w:r>
    </w:p>
    <w:p>
      <w:r>
        <w:rPr>
          <w:i/>
          <w:color w:val="666666"/>
          <w:sz w:val="18"/>
        </w:rPr>
        <w:t>Zhang Z et al.  ·  Front Public Health  ·  21.09.2026  ·  PMID 42835025</w:t>
      </w:r>
    </w:p>
    <w:p>
      <w:r>
        <w:t>Querschnittstudie mit Längsbeobachtung bei 92 Vorschülern und 184 Schulkindern zu Zusammenhang zwischen Haushalts-Chaos und appetitiven Merkmalen.</w:t>
      </w:r>
    </w:p>
    <w:p>
      <w:r>
        <w:rPr>
          <w:b/>
        </w:rPr>
        <w:t xml:space="preserve">Ergebnis: </w:t>
      </w:r>
      <w:r>
        <w:t>Chaos korrelierte positiv mit emotionalem Überessen in beiden Kohorten (Vorschüler: β=0,18, p=0,04; Schulkinder: β=0,19, p=0,003). Bei Schulkindern zusätzlich höhere Essensreaktivität (β=0,21, p&lt;0,001) und niedrigere Sättigungsreaktivität (β=−0,14, p=0,03).</w:t>
      </w:r>
    </w:p>
    <w:p>
      <w:r>
        <w:rPr>
          <w:b/>
          <w:sz w:val="19"/>
        </w:rPr>
        <w:t xml:space="preserve">Übertragbarkeit: </w:t>
      </w:r>
      <w:r>
        <w:rPr>
          <w:sz w:val="19"/>
        </w:rPr>
        <w:t>USA, aber Mechanismus (Stressverarbeitung) kulturübergreifend relevant; modulierbar durch Familienunterstützung.</w:t>
      </w:r>
    </w:p>
    <w:p>
      <w:r>
        <w:rPr>
          <w:color w:val="5A7D3A"/>
          <w:sz w:val="18"/>
        </w:rPr>
        <w:t>https://pubmed.ncbi.nlm.nih.gov/42835025/</w:t>
      </w:r>
    </w:p>
    <w:p>
      <w:pPr>
        <w:pStyle w:val="Heading2"/>
      </w:pPr>
      <w:r>
        <w:t>Adipositas in Katar: 74 % übergewichtig, Familie und Geschlecht als Risikofaktoren</w:t>
      </w:r>
    </w:p>
    <w:p>
      <w:r>
        <w:rPr>
          <w:i/>
          <w:color w:val="666666"/>
          <w:sz w:val="18"/>
        </w:rPr>
        <w:t>Al-Thani MH et al.  ·  BMJ Open  ·  05.10.2026  ·  PMID 42833715</w:t>
      </w:r>
    </w:p>
    <w:p>
      <w:r>
        <w:t>Nationale Querschnittstudie (Mai–Dezember 2023) mit 5.696 erwachsenen Katarern zur Prävalenz und Risikofaktoren von Übergewicht und Adipositas.</w:t>
      </w:r>
    </w:p>
    <w:p>
      <w:r>
        <w:rPr>
          <w:b/>
        </w:rPr>
        <w:t xml:space="preserve">Ergebnis: </w:t>
      </w:r>
      <w:r>
        <w:t>Kombinierte Prävalenz von Übergewicht und Adipositas 74,2 % (Übergewicht 36,4 %, Adipositas 37,8 %). Höchstes Risiko bei Frauen, Alter ≥45 Jahren, Familiengeschichte Adipositas (aRRR=2,17, p=0,004), höherer Herzfrequenz und niedrigerem HDL-Cholesterin (aRRR=0,37, p=0,003).</w:t>
      </w:r>
    </w:p>
    <w:p>
      <w:r>
        <w:rPr>
          <w:b/>
          <w:sz w:val="19"/>
        </w:rPr>
        <w:t xml:space="preserve">Übertragbarkeit: </w:t>
      </w:r>
      <w:r>
        <w:rPr>
          <w:sz w:val="19"/>
        </w:rPr>
        <w:t>Gering – Golfstaat, andere Erwerbstätigenstruktur; Prävalenztrends aber global relevant.</w:t>
      </w:r>
    </w:p>
    <w:p>
      <w:r>
        <w:rPr>
          <w:color w:val="5A7D3A"/>
          <w:sz w:val="18"/>
        </w:rPr>
        <w:t>https://pubmed.ncbi.nlm.nih.gov/42833715/</w:t>
      </w:r>
    </w:p>
    <w:p>
      <w:pPr>
        <w:pStyle w:val="Heading2"/>
      </w:pPr>
      <w:r>
        <w:t>Alkohol erhöht Metabolisches Syndrom: Sport reduziert, hebt aber nicht auf</w:t>
      </w:r>
    </w:p>
    <w:p>
      <w:r>
        <w:rPr>
          <w:i/>
          <w:color w:val="666666"/>
          <w:sz w:val="18"/>
        </w:rPr>
        <w:t>Courtney JB et al.  ·  Alcohol Alcohol  ·  20.09.2026  ·  PMID 42831802</w:t>
      </w:r>
    </w:p>
    <w:p>
      <w:r>
        <w:t>Querschnittanalyse der US-Nationale Health and Nutrition Examination Survey (2011–2020, n=3.227–5.586) zu Wechselwirkung von körperlicher Aktivität und Alkoholkonsum mit Metabolischem Syndrom.</w:t>
      </w:r>
    </w:p>
    <w:p>
      <w:r>
        <w:rPr>
          <w:b/>
        </w:rPr>
        <w:t xml:space="preserve">Ergebnis: </w:t>
      </w:r>
      <w:r>
        <w:t>Höhere körperliche Aktivität (Q2–Q4) reduzierte MetS-Risikofaktoren dosisabhängig (Q4: IRR=0,73, 95%-KI: 0,67–0,80). Alkoholkonsum ≤0,50–0,75 Drinks/Tag mit moderater Aktivität (Q3–Q4) assoziiert mit niedrigerem MetS-Risiko (OR=0,43–0,44). Substanzielle Heterogenität bei hohem Alkoholkonsum aufgrund Datensparsamkeit.</w:t>
      </w:r>
    </w:p>
    <w:p>
      <w:r>
        <w:rPr>
          <w:b/>
          <w:sz w:val="19"/>
        </w:rPr>
        <w:t xml:space="preserve">Übertragbarkeit: </w:t>
      </w:r>
      <w:r>
        <w:rPr>
          <w:sz w:val="19"/>
        </w:rPr>
        <w:t>USA, aber Evidenz zur Dosis-Wirkung und Prävention durch Lebensstil übertragbar auf Deutschland.</w:t>
      </w:r>
    </w:p>
    <w:p>
      <w:r>
        <w:rPr>
          <w:color w:val="5A7D3A"/>
          <w:sz w:val="18"/>
        </w:rPr>
        <w:t>https://pubmed.ncbi.nlm.nih.gov/42831802/</w:t>
      </w:r>
    </w:p>
    <w:p>
      <w:pPr>
        <w:pStyle w:val="Heading2"/>
      </w:pPr>
      <w:r>
        <w:t>Adipositas und Nierensteine: Geschlechtsspezifische Unterschiede in 10-Jahres-Verlauf</w:t>
      </w:r>
    </w:p>
    <w:p>
      <w:r>
        <w:rPr>
          <w:i/>
          <w:color w:val="666666"/>
          <w:sz w:val="18"/>
        </w:rPr>
        <w:t>Tao K et al.  ·  Urolithiasis  ·  03.10.2026  ·  PMID 42828682</w:t>
      </w:r>
    </w:p>
    <w:p>
      <w:r>
        <w:t>Retrospektive Kohortenstudie mit 10 Jahren Nachbeobachtung (n=24.418) zu Geschlechts-Unterschieden zwischen anthropometrischen Indizes und Nierensteinrisiko.</w:t>
      </w:r>
    </w:p>
    <w:p>
      <w:r>
        <w:rPr>
          <w:b/>
        </w:rPr>
        <w:t xml:space="preserve">Ergebnis: </w:t>
      </w:r>
      <w:r>
        <w:t>Bei Männern: Taille, Hüftumfang, BMI, gewichtsangepasster Taille-Index und Body-Roundness-Index signifikant mit Nierenstein-Inzidenz assoziiert (alle HR 1,06–1,11, p&lt;0,001). Bei Frauen nur baseline-BMI relevant (HR=1,35, p=0,016); Längseffekte bei Frauen nicht signifikant. Geschlechtsspezifische Mechanismen offensichtlich.</w:t>
      </w:r>
    </w:p>
    <w:p>
      <w:r>
        <w:rPr>
          <w:b/>
          <w:sz w:val="19"/>
        </w:rPr>
        <w:t xml:space="preserve">Übertragbarkeit: </w:t>
      </w:r>
      <w:r>
        <w:rPr>
          <w:sz w:val="19"/>
        </w:rPr>
        <w:t>China, aber metabolisch-urologische Pathophysiologie universell; Fettverteilung bei Männern stärker prädiktiv.</w:t>
      </w:r>
    </w:p>
    <w:p>
      <w:r>
        <w:rPr>
          <w:color w:val="5A7D3A"/>
          <w:sz w:val="18"/>
        </w:rPr>
        <w:t>https://pubmed.ncbi.nlm.nih.gov/42828682/</w:t>
      </w:r>
    </w:p>
    <w:p>
      <w:pPr>
        <w:pStyle w:val="Heading2"/>
      </w:pPr>
      <w:r>
        <w:t>Nachhaltige Ernährung und Adipositas: Unerwartet höheres Risiko trotz optimierter Diät</w:t>
      </w:r>
    </w:p>
    <w:p>
      <w:r>
        <w:rPr>
          <w:i/>
          <w:color w:val="666666"/>
          <w:sz w:val="18"/>
        </w:rPr>
        <w:t>Bergmann C et al.  ·  Am J Clin Nutr  ·  11.08.2026  ·  PMID 42580635</w:t>
      </w:r>
    </w:p>
    <w:p>
      <w:r>
        <w:t>Longitudinale Kohortenstudie (7 Jahre) bei 1.499 Ghanaern zu Zusammenhang zwischen optimierter nachhaltiger Ernährung (niedrige Emissionen, Kosten) und Adipositasinzidenz.</w:t>
      </w:r>
    </w:p>
    <w:p>
      <w:r>
        <w:rPr>
          <w:b/>
        </w:rPr>
        <w:t xml:space="preserve">Ergebnis: </w:t>
      </w:r>
      <w:r>
        <w:t>Höhere Adhärenz zur optimierten Ernährung war mit 19 % erhöhtem Risiko für abdominale Adipositas assoziiert (95%-KI: 1,00–1,42; p=0,049), signifikant in ländlichen und städtischen Gebieten. Gesamtadherenz war niedrig, was unerwartet inverse Befunde erklären könnte.</w:t>
      </w:r>
    </w:p>
    <w:p>
      <w:r>
        <w:rPr>
          <w:b/>
          <w:sz w:val="19"/>
        </w:rPr>
        <w:t xml:space="preserve">Übertragbarkeit: </w:t>
      </w:r>
      <w:r>
        <w:rPr>
          <w:sz w:val="19"/>
        </w:rPr>
        <w:t>Ghana, vergleichbar strukturiertes Gesundheitswesen; begrenzte Übertragbarkeit des Effekts auf Deutschland ohne lokale Validierung.</w:t>
      </w:r>
    </w:p>
    <w:p>
      <w:r>
        <w:rPr>
          <w:color w:val="5A7D3A"/>
          <w:sz w:val="18"/>
        </w:rPr>
        <w:t>https://pubmed.ncbi.nlm.nih.gov/42580635/</w:t>
      </w:r>
    </w:p>
    <w:p>
      <w:pPr>
        <w:pStyle w:val="Heading1"/>
      </w:pPr>
      <w:r>
        <w:t>Aufgenommen am 06.10.2026</w:t>
      </w:r>
    </w:p>
    <w:p>
      <w:pPr>
        <w:pStyle w:val="Heading2"/>
      </w:pPr>
      <w:r>
        <w:t>Fettfreie Körpermasse nach Adipositaschirurgie variiert nach Geschlecht und Menopausenstatus, Fitness verbessert sich dennoch</w:t>
      </w:r>
    </w:p>
    <w:p>
      <w:r>
        <w:rPr>
          <w:i/>
          <w:color w:val="666666"/>
          <w:sz w:val="18"/>
        </w:rPr>
        <w:t>van der Meer R et al.  ·  Am J Clin Nutr  ·  04.09.2026  ·  PMID 42833817</w:t>
      </w:r>
    </w:p>
    <w:p>
      <w:r>
        <w:t>Longitudinale Kohortenstudie (SOPHIA) mit 1.022 Personen nach Adipositaschirurgie (221 Männer, 614 prämenopausale Frauen, 187 postmenopausale Frauen): Muster der fettfreien Körpermasse und kardiorespiratorische Fitness über ≥18 Monate bis 72 Monate nach Operation.</w:t>
      </w:r>
    </w:p>
    <w:p>
      <w:r>
        <w:rPr>
          <w:b/>
        </w:rPr>
        <w:t xml:space="preserve">Ergebnis: </w:t>
      </w:r>
      <w:r>
        <w:t>Bei 24 Monaten: prämenopausale Frauen verloren niedrigsten Anteil an fettfreier Körpermasse relativ zu Gewichtsverlust (24,7% vs. 27,1% Männer und 28,7% postmenopausale Frauen). Trotz substantiellem Verlust an fettfreier Körpermasse verbesserte sich maximale Sauerstoffaufnahme signifikant in allen Gruppen. Postoperative Veränderungen der fettfreien Körpermasse waren nicht unabhängig mit kardiorespiratorischer Fitness assoziiert.</w:t>
      </w:r>
    </w:p>
    <w:p>
      <w:r>
        <w:rPr>
          <w:b/>
          <w:sz w:val="19"/>
        </w:rPr>
        <w:t xml:space="preserve">Übertragbarkeit: </w:t>
      </w:r>
      <w:r>
        <w:rPr>
          <w:sz w:val="19"/>
        </w:rPr>
        <w:t>Niederlande, spezialisierte Adipositaschirurgie-Kohorte, vergleichbar mit deutschem System</w:t>
      </w:r>
    </w:p>
    <w:p>
      <w:r>
        <w:rPr>
          <w:color w:val="5A7D3A"/>
          <w:sz w:val="18"/>
        </w:rPr>
        <w:t>https://pubmed.ncbi.nlm.nih.gov/42833817/</w:t>
      </w:r>
    </w:p>
    <w:p>
      <w:pPr>
        <w:pStyle w:val="Heading2"/>
      </w:pPr>
      <w:r>
        <w:t>Kaiserschnitt moderat mit Übergewicht bei 6-jährigen Kindern assoziiert, Geschlecht mediiert Effekt</w:t>
      </w:r>
    </w:p>
    <w:p>
      <w:r>
        <w:rPr>
          <w:i/>
          <w:color w:val="666666"/>
          <w:sz w:val="18"/>
        </w:rPr>
        <w:t>Terashita S et al.  ·  Eur J Pediatr  ·  05.10.2026  ·  PMID 42832097</w:t>
      </w:r>
    </w:p>
    <w:p>
      <w:r>
        <w:t>Prospektive Kohortenstudie Japan Environment and Children's Study mit 64.281 Mutter-Kind-Paaren: Zusammenhang zwischen Kaiserschnitt-Entbindung und Übergewicht im Alter 6 Jahren nach internationalen Klassifikationskriterien.</w:t>
      </w:r>
    </w:p>
    <w:p>
      <w:r>
        <w:rPr>
          <w:b/>
        </w:rPr>
        <w:t xml:space="preserve">Ergebnis: </w:t>
      </w:r>
      <w:r>
        <w:t>Übergewicht bei 6 Jahren häufiger nach Kaiserschnitt als vaginal (10,7% vs. 8,8%). Nach Anpassung: adjustierte OR 1,09 (95%-KI 1,02–1,16). Geschlechtsspezifische Analysen zeigten: Kaiserschnitt mit neu entwickeltem Übergewicht zwischen 3–6 Jahren bei Mädchen, nicht bei Jungen assoziiert. Kaiserschnitt nicht signifikant mit früherer adiposity rebound assoziiert.</w:t>
      </w:r>
    </w:p>
    <w:p>
      <w:r>
        <w:rPr>
          <w:b/>
          <w:sz w:val="19"/>
        </w:rPr>
        <w:t xml:space="preserve">Übertragbarkeit: </w:t>
      </w:r>
      <w:r>
        <w:rPr>
          <w:sz w:val="19"/>
        </w:rPr>
        <w:t>Japan, große nationale Geburtskohorte; Übertragbarkeit auf Deutschland begrenzt durch unterschiedliche Kaiserschnittquoten und ethnische Zusammensetzung</w:t>
      </w:r>
    </w:p>
    <w:p>
      <w:r>
        <w:rPr>
          <w:color w:val="5A7D3A"/>
          <w:sz w:val="18"/>
        </w:rPr>
        <w:t>https://pubmed.ncbi.nlm.nih.gov/42832097/</w:t>
      </w:r>
    </w:p>
    <w:p>
      <w:pPr>
        <w:pStyle w:val="Heading2"/>
      </w:pPr>
      <w:r>
        <w:t>Telefonische Pflege-Beratung zeigte kurzzeitige Verbesserung der Körperzusammensetzung, nicht aber dauerhafte Effekte</w:t>
      </w:r>
    </w:p>
    <w:p>
      <w:r>
        <w:rPr>
          <w:i/>
          <w:color w:val="666666"/>
          <w:sz w:val="18"/>
        </w:rPr>
        <w:t>Garcia-Coll N et al.  ·  Front Endocrinol (Lausanne)  ·  17.09.2026  ·  PMID 42824031</w:t>
      </w:r>
    </w:p>
    <w:p>
      <w:r>
        <w:t>Sekundäranalyse der randomisierten PREDIPHONE-Studie mit 174 Erwachsenen (Durchschnittsalter 61 Jahre, 52% Frauen) mit Prädiabetes und Übergewicht/Adipositas: Vergleich einer telefonischen Pflege-Lebensstiländerung vs. SMS-Kontrolle über 15 Monate mit Körperzusammensetzungsmessungen.</w:t>
      </w:r>
    </w:p>
    <w:p>
      <w:r>
        <w:rPr>
          <w:b/>
        </w:rPr>
        <w:t xml:space="preserve">Ergebnis: </w:t>
      </w:r>
      <w:r>
        <w:t>Nach 4 Monaten: Reduktion von viszeralem Fett und Fettmasse in der Interventionsgruppe vs. Kontrolle. Diese Verbesserungen hielten nicht bei 9 oder 15 Monaten an. Keine signifikanten Unterschiede in Muskelaufbau oder BMI. Intensivere oder längerfristige Strategien könnten erforderlich sein für nachhaltige Effekte.</w:t>
      </w:r>
    </w:p>
    <w:p>
      <w:r>
        <w:rPr>
          <w:b/>
          <w:sz w:val="19"/>
        </w:rPr>
        <w:t xml:space="preserve">Übertragbarkeit: </w:t>
      </w:r>
      <w:r>
        <w:rPr>
          <w:sz w:val="19"/>
        </w:rPr>
        <w:t>Spanien, primärärztliche Telemedizin-Intervention, vergleichbar mit deutschem Versorgungskontext</w:t>
      </w:r>
    </w:p>
    <w:p>
      <w:r>
        <w:rPr>
          <w:color w:val="5A7D3A"/>
          <w:sz w:val="18"/>
        </w:rPr>
        <w:t>https://pubmed.ncbi.nlm.nih.gov/42824031/</w:t>
      </w:r>
    </w:p>
    <w:p>
      <w:pPr>
        <w:pStyle w:val="Heading2"/>
      </w:pPr>
      <w:r>
        <w:t>GLP-1-Rezeptoragonisten: nephroprotektive Effekte bei chronischer Nierenkrankheit und Diabetes</w:t>
      </w:r>
    </w:p>
    <w:p>
      <w:r>
        <w:rPr>
          <w:i/>
          <w:color w:val="666666"/>
          <w:sz w:val="18"/>
        </w:rPr>
        <w:t>Boeckhaus J et al.  ·  Clin Sci (Lond)  ·  14.10.2026  ·  PMID 42820470</w:t>
      </w:r>
    </w:p>
    <w:p>
      <w:r>
        <w:t>Narrative Übersichtsarbeit zur Evidenz von GLP-1-Rezeptoragonisten in der Nierenprotektion: Mechanismen und klinische Ergebnisse aus kardiovaskulären Studien und Nierenschutz-Studien bei Typ-2-Diabetes mit chronischer Nierenkrankheit.</w:t>
      </w:r>
    </w:p>
    <w:p>
      <w:r>
        <w:rPr>
          <w:b/>
        </w:rPr>
        <w:t xml:space="preserve">Ergebnis: </w:t>
      </w:r>
      <w:r>
        <w:t>GLP-1-Rezeptoragonisten zeigen Reduktion schwerwiegender kardiovaskulärer Ereignisse, Verlangsamung der Nierenkrankheitsprogression (gemessen an eGFR-Rückgang) und Albuminurie-Reduktion. Mechanismen beinhalten anti-inflammatorische, anti-fibrotische und antioxidative Effekte. Autoren betonen Sicherheitsprofile und mögliche Risiken.</w:t>
      </w:r>
    </w:p>
    <w:p>
      <w:r>
        <w:rPr>
          <w:b/>
          <w:sz w:val="19"/>
        </w:rPr>
        <w:t xml:space="preserve">Übertragbarkeit: </w:t>
      </w:r>
      <w:r>
        <w:rPr>
          <w:sz w:val="19"/>
        </w:rPr>
        <w:t>UK, Übersicht internationaler Studienevidenz; Kostenübernahme in Deutschland eingeschränkt (§34 SGB V)</w:t>
      </w:r>
    </w:p>
    <w:p>
      <w:r>
        <w:rPr>
          <w:color w:val="5A7D3A"/>
          <w:sz w:val="18"/>
        </w:rPr>
        <w:t>https://pubmed.ncbi.nlm.nih.gov/42820470/</w:t>
      </w:r>
    </w:p>
    <w:p>
      <w:pPr>
        <w:pStyle w:val="Heading2"/>
      </w:pPr>
      <w:r>
        <w:t>Vertraute Ärzte verbessern Erfolg von Video-Lebensstiländerungen bei Adipositas</w:t>
      </w:r>
    </w:p>
    <w:p>
      <w:r>
        <w:rPr>
          <w:i/>
          <w:color w:val="666666"/>
          <w:sz w:val="18"/>
        </w:rPr>
        <w:t>Taverner-Aparicio A et al.  ·  Patient Educ Couns  ·  07.09.2026  ·  PMID 42727166</w:t>
      </w:r>
    </w:p>
    <w:p>
      <w:r>
        <w:t>Randomisierte Studie an 115 Erwachsenen mit Übergewicht oder Adipositas Grad I in Valencia: Vergleich videogestützter Lebensstiländerung von bekannten vs. unbekannten Primärärzten.</w:t>
      </w:r>
    </w:p>
    <w:p>
      <w:r>
        <w:rPr>
          <w:b/>
        </w:rPr>
        <w:t xml:space="preserve">Ergebnis: </w:t>
      </w:r>
      <w:r>
        <w:t>Patienten der bekannten Ärzte erreichten -0,5 kg/m² BMI mehr (95%-KI -0,9 bis -0,1; p=0,013) und reduzierten wöchentliche Sitzzeit um 39 Minuten (95%-KI -77 bis -0,2; p=0,049). Per-Protocol-Analyse zeigte -0,9 kg/m² (95%-KI -1,6 bis -0,2; p=0,009). Kontinuität in der ärztlichen Beziehung trägt zur Wirksamkeit digitaler Lebensstiländerungen bei.</w:t>
      </w:r>
    </w:p>
    <w:p>
      <w:r>
        <w:rPr>
          <w:b/>
          <w:sz w:val="19"/>
        </w:rPr>
        <w:t xml:space="preserve">Übertragbarkeit: </w:t>
      </w:r>
      <w:r>
        <w:rPr>
          <w:sz w:val="19"/>
        </w:rPr>
        <w:t>Spanien, primärärztliche Versorgung, vergleichbar mit deutschem Gesundheitssystem</w:t>
      </w:r>
    </w:p>
    <w:p>
      <w:r>
        <w:rPr>
          <w:color w:val="5A7D3A"/>
          <w:sz w:val="18"/>
        </w:rPr>
        <w:t>https://pubmed.ncbi.nlm.nih.gov/42727166/</w:t>
      </w:r>
    </w:p>
    <w:p>
      <w:pPr>
        <w:pStyle w:val="Heading2"/>
      </w:pPr>
      <w:r>
        <w:t>Proteinquellen in der Schwangerschaft beeinflussen Gewichtsverlauf von Mutter und Kind</w:t>
      </w:r>
    </w:p>
    <w:p>
      <w:r>
        <w:rPr>
          <w:i/>
          <w:color w:val="666666"/>
          <w:sz w:val="18"/>
        </w:rPr>
        <w:t>Zhang H et al.  ·  Am J Clin Nutr  ·  11.09.2026  ·  PMID 42665051</w:t>
      </w:r>
    </w:p>
    <w:p>
      <w:r>
        <w:t>Prospektive Kohortenstudie mit 59.791 dänischen Müttern: Zusammenhang zwischen Proteinquellen in Woche 25 der Gravidität und Gewichtsretention &gt;5 kg postpartal sowie Übergewicht/Adipositas der Kinder im Alter 7–11 Jahren.</w:t>
      </w:r>
    </w:p>
    <w:p>
      <w:r>
        <w:rPr>
          <w:b/>
        </w:rPr>
        <w:t xml:space="preserve">Ergebnis: </w:t>
      </w:r>
      <w:r>
        <w:t>Höhere pflanzliche Proteinzufuhr senkte Risiko mütterlicher Gewichtsretention &gt;5 kg (Q5 vs. Q1: RR 0,86; 95%-KI 0,81–0,91). Höhere Rotfleischproteinzufuhr erhöhte Risiko (RR 1,11; 95%-KI 1,05–1,17). Bei Kindern: höhere tierische Proteine (RR 1,12; 95%-KI 1,05–1,19) und Rotfleisch (RR 1,06; 95%-KI 1,00–1,13) mit höherem Adipositasrisiko. Ersatz von 1% Rotfleisch- oder Milchprotein durch Geflügel/Fisch reduzierte mütterliches Risiko um 4–6%.</w:t>
      </w:r>
    </w:p>
    <w:p>
      <w:r>
        <w:rPr>
          <w:b/>
          <w:sz w:val="19"/>
        </w:rPr>
        <w:t xml:space="preserve">Übertragbarkeit: </w:t>
      </w:r>
      <w:r>
        <w:rPr>
          <w:sz w:val="19"/>
        </w:rPr>
        <w:t>Dänemark, Geburtskohortenstudie, direkt auf deutschsprachige Prävention übertragbar</w:t>
      </w:r>
    </w:p>
    <w:p>
      <w:r>
        <w:rPr>
          <w:color w:val="5A7D3A"/>
          <w:sz w:val="18"/>
        </w:rPr>
        <w:t>https://pubmed.ncbi.nlm.nih.gov/42665051/</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Cameron C et al.  ·  Nutrients  ·  21.09.2026  ·  PMID 42797085</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https://pubmed.ncbi.nlm.nih.gov/42797085/</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Henderson GV et al.  ·  Nutrients  ·  29.08.2026  ·  PMID 42739011</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https://pubmed.ncbi.nlm.nih.gov/42739011/</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Studienprotokoll aus der spanischen Kinder-Primärversorgung</w:t>
      </w:r>
    </w:p>
    <w:p>
      <w:r>
        <w:rPr>
          <w:i/>
          <w:color w:val="666666"/>
          <w:sz w:val="18"/>
        </w:rPr>
        <w:t>Ciriza-Barea E et al.  ·  Rev Esp Salud Publica  ·  03.09.2026  ·  PMID 42690077</w:t>
      </w:r>
    </w:p>
    <w:p>
      <w:r>
        <w:t>Protokoll einer multizentrischen Querschnittstudie des spanischen Forschungsnetzes PAPenRed (Kinder-Primärversorgung) zum Zusammenhang zwischen Naturverbundenheit und Adipositas, Asthma, Entwicklungs-, psychischen und Schlafstörungen sowie Lebensqualität bei 7- bis 14-Jährigen.</w:t>
      </w:r>
    </w:p>
    <w:p>
      <w:r>
        <w:rPr>
          <w:b/>
        </w:rPr>
        <w:t xml:space="preserve">Ergebnis: </w:t>
      </w:r>
      <w:r>
        <w:t>Studienprotokoll, noch keine Ergebnisse. Erhebung über zwölf Monate (Juli 2025 bis Juni 2026) bei Vorsorgeuntersuchungen mit drei parallelen Fragebögen für Kind, Eltern und Kinderarzt.</w:t>
      </w:r>
    </w:p>
    <w:p>
      <w:r>
        <w:rPr>
          <w:b/>
          <w:sz w:val="19"/>
        </w:rPr>
        <w:t xml:space="preserve">Übertragbarkeit: </w:t>
      </w:r>
      <w:r>
        <w:rPr>
          <w:sz w:val="19"/>
        </w:rPr>
        <w:t>Spanien, pädiatrische Primärversorgung; noch keine Ergebnisse</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2026-10-19T06:00:00Z</dcterms:created>
  <dcterms:modified xsi:type="dcterms:W3CDTF">2026-10-19T06:00:00Z</dcterms:modified>
  <cp:category/>
</cp:coreProperties>
</file>