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13.09.2026  |  7 Studien  |  adipositas.m-vf.de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Gewichtsrebound nach GLP-1-Agonisten-Absetzen: 17,9 % Differenz zu Fortsetzer-Gruppe</w:t>
      </w:r>
    </w:p>
    <w:p>
      <w:r>
        <w:rPr>
          <w:i/>
          <w:color w:val="666666"/>
          <w:sz w:val="18"/>
        </w:rPr>
        <w:t>Qi H et al.  ·  PeerJ  ·  08.09.2026  ·  PMID 42729958</w:t>
      </w:r>
    </w:p>
    <w:p>
      <w:r>
        <w:t>Systematische Übersicht mit Meta-Analyse von sechs RCTs zu Gewichtsveränderungen nach Diskontinuation von GLP-1-Rezeptoragonisten (Tirzepatid, Semaglutid, Liraglutid, Dulaglutid) bei übergewichtigen/adipösen Erwachsenen.</w:t>
      </w:r>
    </w:p>
    <w:p>
      <w:r>
        <w:rPr>
          <w:b/>
        </w:rPr>
        <w:t xml:space="preserve">Ergebnis: </w:t>
      </w:r>
      <w:r>
        <w:t>8.993 Patienten (5.553 Diskontinuation, 3.440 Fortsetzung); Mittlere Gewichtsdifferenz zwischen Gruppen 17,90 % (95%-KI [14,11–21,69], p‹0,0001). Tirzepatid-Rebound signifikant höher als Semaglutid. Gastrointestinale Nebenwirkungen nahmen nach Absetzen ab, kardiovaskuläre Ereignisse unbeeinflusst. Heterogenität I² = 59 %.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nicht-deutsche Studien; zentral für Versorgungsrealtität: Wie lange müssen Patienten das Mittel nehmen? Kosten-Nutzen bei Wiederzunahme unklar.</w:t>
      </w:r>
    </w:p>
    <w:p>
      <w:r>
        <w:rPr>
          <w:color w:val="5A7D3A"/>
          <w:sz w:val="18"/>
        </w:rPr>
        <w:t>https://pubmed.ncbi.nlm.nih.gov/42729958/</w:t>
      </w:r>
    </w:p>
    <w:p>
      <w:pPr>
        <w:pStyle w:val="Heading2"/>
      </w:pPr>
      <w:r>
        <w:t>Körperrundeindex und Taille-Größe-Verhältnis beste Indikatoren für Hypertonie bei Adipositas</w:t>
      </w:r>
    </w:p>
    <w:p>
      <w:r>
        <w:rPr>
          <w:i/>
          <w:color w:val="666666"/>
          <w:sz w:val="18"/>
        </w:rPr>
        <w:t>Wang C et al.  ·  Front Public Health  ·  28.08.2026  ·  PMID 42729286</w:t>
      </w:r>
    </w:p>
    <w:p>
      <w:r>
        <w:t>Querschnittstudie an 117.609 chinesischen Erwachsenen zur Diskriminanzfähigkeit von zehn Adipositas-Indikatoren für Hypertonie.</w:t>
      </w:r>
    </w:p>
    <w:p>
      <w:r>
        <w:rPr>
          <w:b/>
        </w:rPr>
        <w:t xml:space="preserve">Ergebnis: </w:t>
      </w:r>
      <w:r>
        <w:t>Körperrundeindex (BRI) und Taille-Größe-Verhältnis (WHtR) zeigten die höchste Diskriminanzfähigkeit (AUC: 0,686–0,721). Optimale Cut-offs: BRI 3,66, WHtR 0,52. Jede Einheit Anstieg der BRI z-score war mit 51 % erhöhter Hypertonie-Wahrscheinlichkeit assoziiert (OR 1,51 [1,48–1,53]), WHtR mit 53 % (OR 1,53 [1,50–1,55]). Dosisschema nicht-linear.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Datenbank; Indikatoren sind klinisch einfach anwendbar, übertragbar auf Primärversorgung weltweit.</w:t>
      </w:r>
    </w:p>
    <w:p>
      <w:r>
        <w:rPr>
          <w:color w:val="5A7D3A"/>
          <w:sz w:val="18"/>
        </w:rPr>
        <w:t>https://pubmed.ncbi.nlm.nih.gov/42729286/</w:t>
      </w:r>
    </w:p>
    <w:p>
      <w:pPr>
        <w:pStyle w:val="Heading2"/>
      </w:pPr>
      <w:r>
        <w:t>Häusliche Umgebung in Infanz/Kleinkindzeit mediert nicht Mutter-BMI-zu-Kind-Adipositas-Assoziation</w:t>
      </w:r>
    </w:p>
    <w:p>
      <w:r>
        <w:rPr>
          <w:i/>
          <w:color w:val="666666"/>
          <w:sz w:val="18"/>
        </w:rPr>
        <w:t>Haridas DN et al.  ·  Eur J Pediatr  ·  11.09.2026  ·  PMID 42722906</w:t>
      </w:r>
    </w:p>
    <w:p>
      <w:r>
        <w:t>Retrospektive Kohortenstudie aus ECHO-Programm (USA) an 1.341 Mutter-Kind-Paaren zur Frage, ob Qualität des häuslichen Umfelds (IT-HOME) die Assoziation zwischen mütterlichem Prä-Schwangerschafts-BMI und Kindheits-BMI z-Score (Alter 3–6 Jahre) mediiert.</w:t>
      </w:r>
    </w:p>
    <w:p>
      <w:r>
        <w:rPr>
          <w:b/>
        </w:rPr>
        <w:t xml:space="preserve">Ergebnis: </w:t>
      </w:r>
      <w:r>
        <w:t>Kinder von übergewichtigen/adipösen Müttern hatten signifikant höhere BMI z-Scores als Kinder von normalgewichtigen Müttern, konsistent über sechs IT-HOME-Subskalen und Gesamt-IT-HOME z-Score. Häusliche Umgebung medierte diese Assoziation nicht (kein signifikanter indirekter Effekt über Responsivität, Annahme, Lernmaterialien, Organisation, Varietät, Elternbeteiligung).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USA-Kohorte, struktureller Aufbau unterscheidet sich; aber zeigt Grenzen von Umfeld-Interventionen allein ohne Diet/Bewegung-Fokus – relevant für deutsche Familien-Adipositas-Programme.</w:t>
      </w:r>
    </w:p>
    <w:p>
      <w:r>
        <w:rPr>
          <w:color w:val="5A7D3A"/>
          <w:sz w:val="18"/>
        </w:rPr>
        <w:t>https://pubmed.ncbi.nlm.nih.gov/42722906/</w:t>
      </w:r>
    </w:p>
    <w:p>
      <w:pPr>
        <w:pStyle w:val="Heading2"/>
      </w:pPr>
      <w:r>
        <w:t>HOMA-IR ≥3,39 identifiziert Kinder mit Adipositas und erhöhtem obstruktivem Schlafapnoe-Risiko</w:t>
      </w:r>
    </w:p>
    <w:p>
      <w:r>
        <w:rPr>
          <w:i/>
          <w:color w:val="666666"/>
          <w:sz w:val="18"/>
        </w:rPr>
        <w:t>Sunman B et al.  ·  Eur J Pediatr  ·  10.09.2026  ·  PMID 42722762</w:t>
      </w:r>
    </w:p>
    <w:p>
      <w:r>
        <w:t>Retrospektive Querschnittstudie an 90 Kindern mit Adipositas (6–18 Jahre) zu Assoziation zwischen Insulinresistenz (HOMA-IR) und obstruktivem Schlafapnoe (OSA)-Schweregrad.</w:t>
      </w:r>
    </w:p>
    <w:p>
      <w:r>
        <w:rPr>
          <w:b/>
        </w:rPr>
        <w:t xml:space="preserve">Ergebnis: </w:t>
      </w:r>
      <w:r>
        <w:t>43,3 % (39/90) mit OSA. Mediane HOMA-IR signifikant höher in OSA-Gruppe (p=0,014). OAHI positiv korreliert mit HOMA-IR (ρ=0,325, p=0,002). Nach Adjustierung für Alter, Geschlecht, BMI z-Score, Schlafeffizienz, Pubertätsstatus: HOMA-IR unabhängig assoziiert mit OSA-Schweregrad (β=0,691, p=0,025). ROC-Analyse: HOMA-IR-Cutoff 3,39 mit 72 % Sensitivität, 59 % Spezifität.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(Hacettepe), aber Methode (HOMA-IR) und Schlaflabor-Zugang standard in Europa; praktisches Risiko-Screening-Tool für Primärversorgung.</w:t>
      </w:r>
    </w:p>
    <w:p>
      <w:r>
        <w:rPr>
          <w:color w:val="5A7D3A"/>
          <w:sz w:val="18"/>
        </w:rPr>
        <w:t>https://pubmed.ncbi.nlm.nih.gov/42722762/</w:t>
      </w:r>
    </w:p>
    <w:p>
      <w:pPr>
        <w:pStyle w:val="Heading2"/>
      </w:pPr>
      <w:r>
        <w:t>Slow-Burn-Phänotyp: Kardiovaskuläres Risiko bei niedriger relativer Kalorienaufnahme trotz normales BMI</w:t>
      </w:r>
    </w:p>
    <w:p>
      <w:r>
        <w:rPr>
          <w:i/>
          <w:color w:val="666666"/>
          <w:sz w:val="18"/>
        </w:rPr>
        <w:t>Cho Y et al.  ·  Diabetes Obes Metab  ·  05.08.2026  ·  PMID 42557058</w:t>
      </w:r>
    </w:p>
    <w:p>
      <w:r>
        <w:t>Analyse von 160.905 Biobank-Teilnehmern zur Frage, ob eine niedrigere als erwartete Energieaufnahme relativ zu BMI, Alter und Geschlecht kardiovaskuläres Risiko kennzeichnet.</w:t>
      </w:r>
    </w:p>
    <w:p>
      <w:r>
        <w:rPr>
          <w:b/>
        </w:rPr>
        <w:t xml:space="preserve">Ergebnis: </w:t>
      </w:r>
      <w:r>
        <w:t>Niedrige relative Kalorienaufnahme (‹30. Perzentil) assoziiert mit erhöhtem 3-Punkt-MACE-Risiko (aHR 1,07 [1,01–1,14]) und Myokardinfarkt-Risiko (aHR 1,15 [1,06–1,25]). Normalgewichtige mit Low-Intake-Phänotyp zeigten 17 % höheres MACE-Risiko (aHR 1,17 [1,04–1,33]). Niedrige Muskelkraft erklärte 5,2 % des Überschussrisikos.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vergleichbares Gesundheitssystem; Imitiert deutsche Versorgungsrealität mit BMI-zentrierter Risikostratifizierung.</w:t>
      </w:r>
    </w:p>
    <w:p>
      <w:r>
        <w:rPr>
          <w:color w:val="5A7D3A"/>
          <w:sz w:val="18"/>
        </w:rPr>
        <w:t>https://pubmed.ncbi.nlm.nih.gov/42557058/</w:t>
      </w:r>
    </w:p>
    <w:p>
      <w:pPr>
        <w:pStyle w:val="Heading2"/>
      </w:pPr>
      <w:r>
        <w:t>Hormonelle Verhütung verdoppelt Semaglutid-Initiierung bei jungen Frauen – Gewichtszunahme-Sorge als Stimulus</w:t>
      </w:r>
    </w:p>
    <w:p>
      <w:r>
        <w:rPr>
          <w:i/>
          <w:color w:val="666666"/>
          <w:sz w:val="18"/>
        </w:rPr>
        <w:t>Bager MD et al.  ·  JAMA Netw Open  ·  01.07.2026  ·  PMID 42485041</w:t>
      </w:r>
    </w:p>
    <w:p>
      <w:r>
        <w:t>Dänische Register-Fall-Kontroll-Studie zu Assoziation zwischen Hormonkontrazeption und nachfolgender Semaglutid-Verordnung bei Frauen im reproduktiven Alter.</w:t>
      </w:r>
    </w:p>
    <w:p>
      <w:r>
        <w:rPr>
          <w:b/>
        </w:rPr>
        <w:t xml:space="preserve">Ergebnis: </w:t>
      </w:r>
      <w:r>
        <w:t>22.694 Semaglutid-Fälle, 229.640 Kontrollen (Alter 37 Jahre, Median). Alle Hormonkontrazeptions-Muster assoziiert mit Semaglutid-Initiierung vs. Nicht-Nutzer: kombinierte orale Tabletten aHR 1,42 (1,34–1,51); Gestagen-IUPs aHR 1,63 (1,46–1,82); mehrere Typen aHR bis 2,11 (1,97–2,25). BMI-Anpassung attenuierte, eliminierte aber nicht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GKV-ähnliche Finanzierung; zeigt Erstattungs-Realität bei off-label-Adipositas-Mittel: Sorge um Gewicht durch Verhütung treibt Semaglutid-Suche.</w:t>
      </w:r>
    </w:p>
    <w:p>
      <w:r>
        <w:rPr>
          <w:color w:val="5A7D3A"/>
          <w:sz w:val="18"/>
        </w:rPr>
        <w:t>https://pubmed.ncbi.nlm.nih.gov/42485041/</w:t>
      </w:r>
    </w:p>
    <w:p>
      <w:pPr>
        <w:pStyle w:val="Heading2"/>
      </w:pPr>
      <w:r>
        <w:t>Kardiovaskulär-renales-metabolisches Syndrom Stufe 4 verdoppelt bis vervierfacht Arthrose-Risiko, besonders bei jüngeren Personen</w:t>
      </w:r>
    </w:p>
    <w:p>
      <w:r>
        <w:rPr>
          <w:i/>
          <w:color w:val="666666"/>
          <w:sz w:val="18"/>
        </w:rPr>
        <w:t>Ma Z et al.  ·  Maturitas  ·  18.07.2026  ·  PMID 42470749</w:t>
      </w:r>
    </w:p>
    <w:p>
      <w:r>
        <w:t>Prospektive Kohortenstudie an 256.364 UK-Biobank-Teilnehmern ohne baseline-Arthrose zu Assoziation zwischen kardiovaskulär-renales-metabolisches (CKM) Syndrom-Stadien (0–4) und Inzidenz von Hüft-/Knie-Arthrose über 11 Jahre.</w:t>
      </w:r>
    </w:p>
    <w:p>
      <w:r>
        <w:rPr>
          <w:b/>
        </w:rPr>
        <w:t xml:space="preserve">Ergebnis: </w:t>
      </w:r>
      <w:r>
        <w:t>8.209 Hüft-, 12.729 Knie-Arthrose-Fälle. Stage 4 vs. Stage 0: Hüftarthrose HR 1,76 (1,58–1,95), Kniearthrose HR 2,67 (2,44–2,93). Stärker bei &lt;60 Jahren. Geschlechtsdifferenzen: Hüfte risikanter bei Männern, Knie bei Frauen. Genetische Hochrisiko + Stage 4: Hüfte HR 3,10 (2,60–3,70), Knie HR 4,00 (3,42–4,68). Additive Interaktion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Arthrose-Definition und Metabolismus-Messung sind international standard; zeigt Langzeit-Funktionsverlust durch Adipositas-Syndrom – relevant für deutsche Versorgungsplanung älterer Patienten.</w:t>
      </w:r>
    </w:p>
    <w:p>
      <w:r>
        <w:rPr>
          <w:color w:val="5A7D3A"/>
          <w:sz w:val="18"/>
        </w:rPr>
        <w:t>https://pubmed.ncbi.nlm.nih.gov/42470749/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