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08.10.2026  |  6 Studien  |  adipositas.m-vf.de</w:t>
      </w:r>
    </w:p>
    <w:p>
      <w:pPr>
        <w:pStyle w:val="Heading1"/>
      </w:pPr>
      <w:r>
        <w:t>Aufgenommen am 08.10.2026</w:t>
      </w:r>
    </w:p>
    <w:p>
      <w:pPr>
        <w:pStyle w:val="Heading2"/>
      </w:pPr>
      <w:r>
        <w:t>GLP-1-Rezeptoragonisten und SGLT2-Inhibitoren: Disparitäten beim Zugang bleiben</w:t>
      </w:r>
    </w:p>
    <w:p>
      <w:r>
        <w:rPr>
          <w:i/>
          <w:color w:val="666666"/>
          <w:sz w:val="18"/>
        </w:rPr>
        <w:t>Chu AH et al.  ·  Curr Cardiol Rep  ·  07.10.2026  ·  PMID 42842171</w:t>
      </w:r>
    </w:p>
    <w:p>
      <w:r>
        <w:t>Systematischer Review von 100 US-Studien (2013–2026) zu Ungleichheiten in Verordnung und Initiierung von GLP-1RA und SGLT2i zur kardiovaskulären, nierenschützenden und metabolischen Therapie.</w:t>
      </w:r>
    </w:p>
    <w:p>
      <w:r>
        <w:rPr>
          <w:b/>
        </w:rPr>
        <w:t xml:space="preserve">Ergebnis: </w:t>
      </w:r>
      <w:r>
        <w:t>Persistent verringerte Verordnungsraten für Black und Hispanic patients, Medicaid-Versicherte, niedrigere Einkommensgruppen und ältere Erwachsene trotig gestiegener Verordnungen nach Landmark-Trials. Barrieren spanning gesellschaftlich-politische, Gesundheitssystem-, Anbieter-, Patienten- und therapiebezogene Ebenen. Das Equity-First-Framework identifiziert Monitoring, gerechte Zugangsstrukturen und Kliniker-Support als Implementierungsmaßnahmen.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- Kostenübernahme und Zugang sind dort anders als in Deutschland (§34 SGB V)</w:t>
      </w:r>
    </w:p>
    <w:p>
      <w:r>
        <w:rPr>
          <w:color w:val="5A7D3A"/>
          <w:sz w:val="18"/>
        </w:rPr>
        <w:t>https://pubmed.ncbi.nlm.nih.gov/42842171/</w:t>
      </w:r>
    </w:p>
    <w:p>
      <w:pPr>
        <w:pStyle w:val="Heading2"/>
      </w:pPr>
      <w:r>
        <w:t>Betain-Supplementation: begrenzte Effekte auf Mitochondrien und antioxidative Abwehr</w:t>
      </w:r>
    </w:p>
    <w:p>
      <w:r>
        <w:rPr>
          <w:i/>
          <w:color w:val="666666"/>
          <w:sz w:val="18"/>
        </w:rPr>
        <w:t>Zawieja E et al.  ·  Eur J Nutr  ·  07.10.2026  ·  PMID 42841999</w:t>
      </w:r>
    </w:p>
    <w:p>
      <w:r>
        <w:t>Randomisierte, placebokontrollierte 8-Wochen-Studie bei 93 übergewichtigen oder adipösen prämenopausalen Frauen zu Effekten von Betain (3 g/Tag) auf mitochondriale und Redox-Parameter in peripheren Blutlymphozyten.</w:t>
      </w:r>
    </w:p>
    <w:p>
      <w:r>
        <w:rPr>
          <w:b/>
        </w:rPr>
        <w:t xml:space="preserve">Ergebnis: </w:t>
      </w:r>
      <w:r>
        <w:t>Signifikante Treatment-x-Zeit-Interaktion für Citrat-Synthase (CS) in PBMCs (p = 0,043); Betain-Gruppe zeigte größere Steigerung als Placebo (zwischen-Gruppen-Differenz 102,3 μg/mg Protein, 95%-KI 3,19–201,4). Plasma-Katalase-Aktivität stieg signifikant nur unter Betain (p = 0,003). Keine signifikanten Effekte für COX, SOD, GPx oder GSSG. Interpretation: Selektive, biologisch bedeutsame Effekte bleiben unklar.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europäisches Versicherungssystem, kleine Stichprobe begrenzt Übertragbarkeit</w:t>
      </w:r>
    </w:p>
    <w:p>
      <w:r>
        <w:rPr>
          <w:color w:val="5A7D3A"/>
          <w:sz w:val="18"/>
        </w:rPr>
        <w:t>https://pubmed.ncbi.nlm.nih.gov/42841999/</w:t>
      </w:r>
    </w:p>
    <w:p>
      <w:pPr>
        <w:pStyle w:val="Heading2"/>
      </w:pPr>
      <w:r>
        <w:t>Präoperatives Gewichtsverlust-Programm vor Darmkrebsoperation: hohe Akzeptanz trotz Hürden</w:t>
      </w:r>
    </w:p>
    <w:p>
      <w:r>
        <w:rPr>
          <w:i/>
          <w:color w:val="666666"/>
          <w:sz w:val="18"/>
        </w:rPr>
        <w:t>Talbot A et al.  ·  Health Expect  ·  Okt. 2026  ·  PMID 42841450</w:t>
      </w:r>
    </w:p>
    <w:p>
      <w:r>
        <w:t>Qualitative Studie (CARE-RCT) zu Akzeptanz und Erfahrungen von 31 Patienten (BMI 36 kg/m², Alter 65 Jahre) bei intensivem Gewichtsverlust-Programm mit Diätbegleitung zwischen Krebsdiagnose und Operation.</w:t>
      </w:r>
    </w:p>
    <w:p>
      <w:r>
        <w:rPr>
          <w:b/>
        </w:rPr>
        <w:t xml:space="preserve">Ergebnis: </w:t>
      </w:r>
      <w:r>
        <w:t>Patienten verstanden die Rationalität des Programms (technisch erleichterte OP, schnellere Entlassung). Dietitische Unterstützung förderte Adherence; Gewichtsverlust und Gesundheitsmarker verbesserten sich messbar. Allerdings minderten Familienbedenken zu Sicherheit, soziale Essgelegenheiten und Nebenwirkungen die Gesamtacceptance. Kollektive Widerstände überwogen teilweise Kohärenz und kognitives Engagement (Normalisierungs-Prozess-Theorie).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UK, ähnliche Versorgungsstrukturen, qualitative Erkenntnisse zu Barrieren übertragbar</w:t>
      </w:r>
    </w:p>
    <w:p>
      <w:r>
        <w:rPr>
          <w:color w:val="5A7D3A"/>
          <w:sz w:val="18"/>
        </w:rPr>
        <w:t>https://pubmed.ncbi.nlm.nih.gov/42841450/</w:t>
      </w:r>
    </w:p>
    <w:p>
      <w:pPr>
        <w:pStyle w:val="Heading2"/>
      </w:pPr>
      <w:r>
        <w:t>Schwere Adipositas erhöht Kosten und Komplikationen nach Rückenoperation massiv</w:t>
      </w:r>
    </w:p>
    <w:p>
      <w:r>
        <w:rPr>
          <w:i/>
          <w:color w:val="666666"/>
          <w:sz w:val="18"/>
        </w:rPr>
        <w:t>Playter KP et al.  ·  Spine (Phila Pa 1976)  ·  01.11.2026  ·  PMID 42841378</w:t>
      </w:r>
    </w:p>
    <w:p>
      <w:r>
        <w:t>US-Kohortenstudie mit 56.897 Patienten zur Frage, wie schwere Adipositas (BMI ≥40) die 90-Tage-Episodenkosten und Outcomes nach lumbaler Dekompression beeinflusst (MarketScan-Daten 2018–2023).</w:t>
      </w:r>
    </w:p>
    <w:p>
      <w:r>
        <w:rPr>
          <w:b/>
        </w:rPr>
        <w:t xml:space="preserve">Ergebnis: </w:t>
      </w:r>
      <w:r>
        <w:t>Schwer adipöse Patienten (5,6 % der Kohorte) zeigten höhere Raten von Wiederaufnahme, ED-Besuche, 30- und 90-Tage-Komplikationen und Reoperation (alle p &lt; 0,001). Tag-der-OP-Kosten: 26.993 vs. 22.279 $ (p = 0,001); 30-Tage-Kosten: 30.316 vs. 24.551 $; 90-Tage-Kosten: 34.569 vs. 27.816 $ (alle p &lt; 0,001). Multivariabel vorhergesagt: erhöhte OP-Kosten (p = 0,013), Wundinfektionen (OR 1,90), Wunddehiszenz (OR 2,08).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- Kostendaten aus privatem Versicherungssystem, Komplikationsmuster aber allgemeingültig</w:t>
      </w:r>
    </w:p>
    <w:p>
      <w:r>
        <w:rPr>
          <w:color w:val="5A7D3A"/>
          <w:sz w:val="18"/>
        </w:rPr>
        <w:t>https://pubmed.ncbi.nlm.nih.gov/42841378/</w:t>
      </w:r>
    </w:p>
    <w:p>
      <w:pPr>
        <w:pStyle w:val="Heading2"/>
      </w:pPr>
      <w:r>
        <w:t>Klinikvolumen senkte Komplikationen nach Magenbypass deutlich</w:t>
      </w:r>
    </w:p>
    <w:p>
      <w:r>
        <w:rPr>
          <w:i/>
          <w:color w:val="666666"/>
          <w:sz w:val="18"/>
        </w:rPr>
        <w:t>Bobotis S et al.  ·  Obes Surg  ·  22.09.2026  ·  PMID 42771207</w:t>
      </w:r>
    </w:p>
    <w:p>
      <w:r>
        <w:t>UK-Registerstudie mit 54.195 Adipositaschirurgie-Patienten (2014–2023) zum Zusammenhang zwischen Klinikvolumen (Jahresverfahren) und major complications nach RYGB, Sleeve oder OAGB.</w:t>
      </w:r>
    </w:p>
    <w:p>
      <w:r>
        <w:rPr>
          <w:b/>
        </w:rPr>
        <w:t xml:space="preserve">Ergebnis: </w:t>
      </w:r>
      <w:r>
        <w:t>Bei RYGB sank die Obstruktionsrate mit steigendem Klinikvolumen von 0,8 % (Quartil I) auf 0,2 % (Quartil IV, p &lt; 0,001). Höheres Volumen sagte unabhängig niedrigere Obstruktion (OR 0,31, 95%-KI 0,16–0,58; p &lt; 0,001) und Clavien-Dindo ≥III-Komplikationen voraus (OR 0,71, 95%-KI 0,51–0,99; p = 0,044). Bei Sleeve und OAGB zeigten sich über alle Volumenquartile günstige Ergebnisse ohne Volumen-Effekt.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UK-Registerdaten, deutsches Versorgungssystem hat ähnliche Zentrumskonzentration</w:t>
      </w:r>
    </w:p>
    <w:p>
      <w:r>
        <w:rPr>
          <w:color w:val="5A7D3A"/>
          <w:sz w:val="18"/>
        </w:rPr>
        <w:t>https://pubmed.ncbi.nlm.nih.gov/42771207/</w:t>
      </w:r>
    </w:p>
    <w:p>
      <w:pPr>
        <w:pStyle w:val="Heading2"/>
      </w:pPr>
      <w:r>
        <w:t>Adipositaschirurgie senkte Medikamentenkosten und Krankheitslast deutlich</w:t>
      </w:r>
    </w:p>
    <w:p>
      <w:r>
        <w:rPr>
          <w:i/>
          <w:color w:val="666666"/>
          <w:sz w:val="18"/>
        </w:rPr>
        <w:t>Oliveira A et al.  ·  Obes Surg  ·  14.08.2026  ·  PMID 42599584</w:t>
      </w:r>
    </w:p>
    <w:p>
      <w:r>
        <w:t>Portugiesische Kohortenstudie zur Frage, ob Adipositaschirurgie (Magenbypass, Sleeve, OAGB) über 3 Jahre hinweg die Medikamentenkosten und die Krankheitslast bei Adipositas reduziert.</w:t>
      </w:r>
    </w:p>
    <w:p>
      <w:r>
        <w:rPr>
          <w:b/>
        </w:rPr>
        <w:t xml:space="preserve">Ergebnis: </w:t>
      </w:r>
      <w:r>
        <w:t>3 Jahre nach chirurgischer Intervention sanken die mittleren jährlichen Medikamentenkosten um 56,11 € pro Patient (p &lt; 0,05). Die Prävalenz von Hypertonie, Typ-2-Diabetes, Dyslipidämie und Asthma sank signifikant (alle p &lt; 0,05), die mittlere Krankheitslast (Years Lived with Disability) von 0,022 auf 0,014 (p &lt; 0,05). Damit zeigt sich eine nachhaltige Reduktion komorbider Lasten nach bariatrischer Intervention.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Portugal, vergleichbares Sozialversicherungssystem wie Deutschland</w:t>
      </w:r>
    </w:p>
    <w:p>
      <w:r>
        <w:rPr>
          <w:color w:val="5A7D3A"/>
          <w:sz w:val="18"/>
        </w:rPr>
        <w:t>https://pubmed.ncbi.nlm.nih.gov/42599584/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2026-10-08T06:00:00Z</dcterms:created>
  <dcterms:modified xsi:type="dcterms:W3CDTF">2026-10-08T06:00:00Z</dcterms:modified>
  <cp:category/>
</cp:coreProperties>
</file>