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08.10.2026  |  281 Studien  |  adipositas.m-vf.de</w:t>
      </w:r>
    </w:p>
    <w:p>
      <w:pPr>
        <w:pStyle w:val="Heading1"/>
      </w:pPr>
      <w:r>
        <w:t>Aufgenommen am 08.10.2026</w:t>
      </w:r>
    </w:p>
    <w:p>
      <w:pPr>
        <w:pStyle w:val="Heading2"/>
      </w:pPr>
      <w:r>
        <w:t>GLP-1-Rezeptoragonisten und SGLT2-Inhibitoren: Disparitäten beim Zugang bleiben</w:t>
      </w:r>
    </w:p>
    <w:p>
      <w:r>
        <w:rPr>
          <w:i/>
          <w:color w:val="666666"/>
          <w:sz w:val="18"/>
        </w:rPr>
        <w:t>Chu AH et al.  ·  Curr Cardiol Rep  ·  07.10.2026  ·  PMID 42842171</w:t>
      </w:r>
    </w:p>
    <w:p>
      <w:r>
        <w:t>Systematischer Review von 100 US-Studien (2013–2026) zu Ungleichheiten in Verordnung und Initiierung von GLP-1RA und SGLT2i zur kardiovaskulären, nierenschützenden und metabolischen Therapie.</w:t>
      </w:r>
    </w:p>
    <w:p>
      <w:r>
        <w:rPr>
          <w:b/>
        </w:rPr>
        <w:t xml:space="preserve">Ergebnis: </w:t>
      </w:r>
      <w:r>
        <w:t>Persistent verringerte Verordnungsraten für Black und Hispanic patients, Medicaid-Versicherte, niedrigere Einkommensgruppen und ältere Erwachsene trotig gestiegener Verordnungen nach Landmark-Trials. Barrieren spanning gesellschaftlich-politische, Gesundheitssystem-, Anbieter-, Patienten- und therapiebezogene Ebenen. Das Equity-First-Framework identifiziert Monitoring, gerechte Zugangsstrukturen und Kliniker-Support als Implementierungsmaßnahmen.</w:t>
      </w:r>
    </w:p>
    <w:p>
      <w:r>
        <w:rPr>
          <w:b/>
          <w:sz w:val="19"/>
        </w:rPr>
        <w:t xml:space="preserve">Übertragbarkeit: </w:t>
      </w:r>
      <w:r>
        <w:rPr>
          <w:sz w:val="19"/>
        </w:rPr>
        <w:t>USA - Kostenübernahme und Zugang sind dort anders als in Deutschland (§34 SGB V)</w:t>
      </w:r>
    </w:p>
    <w:p>
      <w:r>
        <w:rPr>
          <w:color w:val="5A7D3A"/>
          <w:sz w:val="18"/>
        </w:rPr>
        <w:t>https://pubmed.ncbi.nlm.nih.gov/42842171/</w:t>
      </w:r>
    </w:p>
    <w:p>
      <w:pPr>
        <w:pStyle w:val="Heading2"/>
      </w:pPr>
      <w:r>
        <w:t>Betain-Supplementation: begrenzte Effekte auf Mitochondrien und antioxidative Abwehr</w:t>
      </w:r>
    </w:p>
    <w:p>
      <w:r>
        <w:rPr>
          <w:i/>
          <w:color w:val="666666"/>
          <w:sz w:val="18"/>
        </w:rPr>
        <w:t>Zawieja E et al.  ·  Eur J Nutr  ·  07.10.2026  ·  PMID 42841999</w:t>
      </w:r>
    </w:p>
    <w:p>
      <w:r>
        <w:t>Randomisierte, placebokontrollierte 8-Wochen-Studie bei 93 übergewichtigen oder adipösen prämenopausalen Frauen zu Effekten von Betain (3 g/Tag) auf mitochondriale und Redox-Parameter in peripheren Blutlymphozyten.</w:t>
      </w:r>
    </w:p>
    <w:p>
      <w:r>
        <w:rPr>
          <w:b/>
        </w:rPr>
        <w:t xml:space="preserve">Ergebnis: </w:t>
      </w:r>
      <w:r>
        <w:t>Signifikante Treatment-x-Zeit-Interaktion für Citrat-Synthase (CS) in PBMCs (p = 0,043); Betain-Gruppe zeigte größere Steigerung als Placebo (zwischen-Gruppen-Differenz 102,3 μg/mg Protein, 95%-KI 3,19–201,4). Plasma-Katalase-Aktivität stieg signifikant nur unter Betain (p = 0,003). Keine signifikanten Effekte für COX, SOD, GPx oder GSSG. Interpretation: Selektive, biologisch bedeutsame Effekte bleiben unklar.</w:t>
      </w:r>
    </w:p>
    <w:p>
      <w:r>
        <w:rPr>
          <w:b/>
          <w:sz w:val="19"/>
        </w:rPr>
        <w:t xml:space="preserve">Übertragbarkeit: </w:t>
      </w:r>
      <w:r>
        <w:rPr>
          <w:sz w:val="19"/>
        </w:rPr>
        <w:t>Polen, europäisches Versicherungssystem, kleine Stichprobe begrenzt Übertragbarkeit</w:t>
      </w:r>
    </w:p>
    <w:p>
      <w:r>
        <w:rPr>
          <w:color w:val="5A7D3A"/>
          <w:sz w:val="18"/>
        </w:rPr>
        <w:t>https://pubmed.ncbi.nlm.nih.gov/42841999/</w:t>
      </w:r>
    </w:p>
    <w:p>
      <w:pPr>
        <w:pStyle w:val="Heading2"/>
      </w:pPr>
      <w:r>
        <w:t>Präoperatives Gewichtsverlust-Programm vor Darmkrebsoperation: hohe Akzeptanz trotz Hürden</w:t>
      </w:r>
    </w:p>
    <w:p>
      <w:r>
        <w:rPr>
          <w:i/>
          <w:color w:val="666666"/>
          <w:sz w:val="18"/>
        </w:rPr>
        <w:t>Talbot A et al.  ·  Health Expect  ·  Okt. 2026  ·  PMID 42841450</w:t>
      </w:r>
    </w:p>
    <w:p>
      <w:r>
        <w:t>Qualitative Studie (CARE-RCT) zu Akzeptanz und Erfahrungen von 31 Patienten (BMI 36 kg/m², Alter 65 Jahre) bei intensivem Gewichtsverlust-Programm mit Diätbegleitung zwischen Krebsdiagnose und Operation.</w:t>
      </w:r>
    </w:p>
    <w:p>
      <w:r>
        <w:rPr>
          <w:b/>
        </w:rPr>
        <w:t xml:space="preserve">Ergebnis: </w:t>
      </w:r>
      <w:r>
        <w:t>Patienten verstanden die Rationalität des Programms (technisch erleichterte OP, schnellere Entlassung). Dietitische Unterstützung förderte Adherence; Gewichtsverlust und Gesundheitsmarker verbesserten sich messbar. Allerdings minderten Familienbedenken zu Sicherheit, soziale Essgelegenheiten und Nebenwirkungen die Gesamtacceptance. Kollektive Widerstände überwogen teilweise Kohärenz und kognitives Engagement (Normalisierungs-Prozess-Theorie).</w:t>
      </w:r>
    </w:p>
    <w:p>
      <w:r>
        <w:rPr>
          <w:b/>
          <w:sz w:val="19"/>
        </w:rPr>
        <w:t xml:space="preserve">Übertragbarkeit: </w:t>
      </w:r>
      <w:r>
        <w:rPr>
          <w:sz w:val="19"/>
        </w:rPr>
        <w:t>UK, ähnliche Versorgungsstrukturen, qualitative Erkenntnisse zu Barrieren übertragbar</w:t>
      </w:r>
    </w:p>
    <w:p>
      <w:r>
        <w:rPr>
          <w:color w:val="5A7D3A"/>
          <w:sz w:val="18"/>
        </w:rPr>
        <w:t>https://pubmed.ncbi.nlm.nih.gov/42841450/</w:t>
      </w:r>
    </w:p>
    <w:p>
      <w:pPr>
        <w:pStyle w:val="Heading2"/>
      </w:pPr>
      <w:r>
        <w:t>Schwere Adipositas erhöht Kosten und Komplikationen nach Rückenoperation massiv</w:t>
      </w:r>
    </w:p>
    <w:p>
      <w:r>
        <w:rPr>
          <w:i/>
          <w:color w:val="666666"/>
          <w:sz w:val="18"/>
        </w:rPr>
        <w:t>Playter KP et al.  ·  Spine (Phila Pa 1976)  ·  01.11.2026  ·  PMID 42841378</w:t>
      </w:r>
    </w:p>
    <w:p>
      <w:r>
        <w:t>US-Kohortenstudie mit 56.897 Patienten zur Frage, wie schwere Adipositas (BMI ≥40) die 90-Tage-Episodenkosten und Outcomes nach lumbaler Dekompression beeinflusst (MarketScan-Daten 2018–2023).</w:t>
      </w:r>
    </w:p>
    <w:p>
      <w:r>
        <w:rPr>
          <w:b/>
        </w:rPr>
        <w:t xml:space="preserve">Ergebnis: </w:t>
      </w:r>
      <w:r>
        <w:t>Schwer adipöse Patienten (5,6 % der Kohorte) zeigten höhere Raten von Wiederaufnahme, ED-Besuche, 30- und 90-Tage-Komplikationen und Reoperation (alle p &lt; 0,001). Tag-der-OP-Kosten: 26.993 vs. 22.279 $ (p = 0,001); 30-Tage-Kosten: 30.316 vs. 24.551 $; 90-Tage-Kosten: 34.569 vs. 27.816 $ (alle p &lt; 0,001). Multivariabel vorhergesagt: erhöhte OP-Kosten (p = 0,013), Wundinfektionen (OR 1,90), Wunddehiszenz (OR 2,08).</w:t>
      </w:r>
    </w:p>
    <w:p>
      <w:r>
        <w:rPr>
          <w:b/>
          <w:sz w:val="19"/>
        </w:rPr>
        <w:t xml:space="preserve">Übertragbarkeit: </w:t>
      </w:r>
      <w:r>
        <w:rPr>
          <w:sz w:val="19"/>
        </w:rPr>
        <w:t>USA - Kostendaten aus privatem Versicherungssystem, Komplikationsmuster aber allgemeingültig</w:t>
      </w:r>
    </w:p>
    <w:p>
      <w:r>
        <w:rPr>
          <w:color w:val="5A7D3A"/>
          <w:sz w:val="18"/>
        </w:rPr>
        <w:t>https://pubmed.ncbi.nlm.nih.gov/42841378/</w:t>
      </w:r>
    </w:p>
    <w:p>
      <w:pPr>
        <w:pStyle w:val="Heading2"/>
      </w:pPr>
      <w:r>
        <w:t>Klinikvolumen senkte Komplikationen nach Magenbypass deutlich</w:t>
      </w:r>
    </w:p>
    <w:p>
      <w:r>
        <w:rPr>
          <w:i/>
          <w:color w:val="666666"/>
          <w:sz w:val="18"/>
        </w:rPr>
        <w:t>Bobotis S et al.  ·  Obes Surg  ·  22.09.2026  ·  PMID 42771207</w:t>
      </w:r>
    </w:p>
    <w:p>
      <w:r>
        <w:t>UK-Registerstudie mit 54.195 Adipositaschirurgie-Patienten (2014–2023) zum Zusammenhang zwischen Klinikvolumen (Jahresverfahren) und major complications nach RYGB, Sleeve oder OAGB.</w:t>
      </w:r>
    </w:p>
    <w:p>
      <w:r>
        <w:rPr>
          <w:b/>
        </w:rPr>
        <w:t xml:space="preserve">Ergebnis: </w:t>
      </w:r>
      <w:r>
        <w:t>Bei RYGB sank die Obstruktionsrate mit steigendem Klinikvolumen von 0,8 % (Quartil I) auf 0,2 % (Quartil IV, p &lt; 0,001). Höheres Volumen sagte unabhängig niedrigere Obstruktion (OR 0,31, 95%-KI 0,16–0,58; p &lt; 0,001) und Clavien-Dindo ≥III-Komplikationen voraus (OR 0,71, 95%-KI 0,51–0,99; p = 0,044). Bei Sleeve und OAGB zeigten sich über alle Volumenquartile günstige Ergebnisse ohne Volumen-Effekt.</w:t>
      </w:r>
    </w:p>
    <w:p>
      <w:r>
        <w:rPr>
          <w:b/>
          <w:sz w:val="19"/>
        </w:rPr>
        <w:t xml:space="preserve">Übertragbarkeit: </w:t>
      </w:r>
      <w:r>
        <w:rPr>
          <w:sz w:val="19"/>
        </w:rPr>
        <w:t>UK-Registerdaten, deutsches Versorgungssystem hat ähnliche Zentrumskonzentration</w:t>
      </w:r>
    </w:p>
    <w:p>
      <w:r>
        <w:rPr>
          <w:color w:val="5A7D3A"/>
          <w:sz w:val="18"/>
        </w:rPr>
        <w:t>https://pubmed.ncbi.nlm.nih.gov/42771207/</w:t>
      </w:r>
    </w:p>
    <w:p>
      <w:pPr>
        <w:pStyle w:val="Heading2"/>
      </w:pPr>
      <w:r>
        <w:t>Adipositaschirurgie senkte Medikamentenkosten und Krankheitslast deutlich</w:t>
      </w:r>
    </w:p>
    <w:p>
      <w:r>
        <w:rPr>
          <w:i/>
          <w:color w:val="666666"/>
          <w:sz w:val="18"/>
        </w:rPr>
        <w:t>Oliveira A et al.  ·  Obes Surg  ·  14.08.2026  ·  PMID 42599584</w:t>
      </w:r>
    </w:p>
    <w:p>
      <w:r>
        <w:t>Portugiesische Kohortenstudie zur Frage, ob Adipositaschirurgie (Magenbypass, Sleeve, OAGB) über 3 Jahre hinweg die Medikamentenkosten und die Krankheitslast bei Adipositas reduziert.</w:t>
      </w:r>
    </w:p>
    <w:p>
      <w:r>
        <w:rPr>
          <w:b/>
        </w:rPr>
        <w:t xml:space="preserve">Ergebnis: </w:t>
      </w:r>
      <w:r>
        <w:t>3 Jahre nach chirurgischer Intervention sanken die mittleren jährlichen Medikamentenkosten um 56,11 € pro Patient (p &lt; 0,05). Die Prävalenz von Hypertonie, Typ-2-Diabetes, Dyslipidämie und Asthma sank signifikant (alle p &lt; 0,05), die mittlere Krankheitslast (Years Lived with Disability) von 0,022 auf 0,014 (p &lt; 0,05). Damit zeigt sich eine nachhaltige Reduktion komorbider Lasten nach bariatrischer Intervention.</w:t>
      </w:r>
    </w:p>
    <w:p>
      <w:r>
        <w:rPr>
          <w:b/>
          <w:sz w:val="19"/>
        </w:rPr>
        <w:t xml:space="preserve">Übertragbarkeit: </w:t>
      </w:r>
      <w:r>
        <w:rPr>
          <w:sz w:val="19"/>
        </w:rPr>
        <w:t>Portugal, vergleichbares Sozialversicherungssystem wie Deutschland</w:t>
      </w:r>
    </w:p>
    <w:p>
      <w:r>
        <w:rPr>
          <w:color w:val="5A7D3A"/>
          <w:sz w:val="18"/>
        </w:rPr>
        <w:t>https://pubmed.ncbi.nlm.nih.gov/42599584/</w:t>
      </w:r>
    </w:p>
    <w:p>
      <w:pPr>
        <w:pStyle w:val="Heading1"/>
      </w:pPr>
      <w:r>
        <w:t>Aufgenommen am 07.10.2026</w:t>
      </w:r>
    </w:p>
    <w:p>
      <w:pPr>
        <w:pStyle w:val="Heading2"/>
      </w:pPr>
      <w:r>
        <w:t>GLP-1-Rezeptoragonisten bei Schlafapnoe: Reduktion um 10 Ereignisse pro Stunde</w:t>
      </w:r>
    </w:p>
    <w:p>
      <w:r>
        <w:rPr>
          <w:i/>
          <w:color w:val="666666"/>
          <w:sz w:val="18"/>
        </w:rPr>
        <w:t>Carvalhal G et al.  ·  Sleep Breath  ·  06.10.2026  ·  PMID 42837024</w:t>
      </w:r>
    </w:p>
    <w:p>
      <w:r>
        <w:t>Metaanalyse von 6 randomisierten kontrollierten Studien (n=1.069, 4× Liraglutid, 2× Tirzepatid) zu Effektivität und Sicherheit bei moderater bis schwerer obstruktiver Schlafapnoe.</w:t>
      </w:r>
    </w:p>
    <w:p>
      <w:r>
        <w:rPr>
          <w:b/>
        </w:rPr>
        <w:t xml:space="preserve">Ergebnis: </w:t>
      </w:r>
      <w:r>
        <w:t>GLP-1-Therapie reduzierte Apnoe-Hypopnoe-Index um −9,99 Ereignisse/Stunde (95%-KI: −16,47 bis −3,50, p&lt;0,01) und Körpergewicht um −9,68 kg (95%-KI: −15,84 bis −3,51, p&lt;0,01). Systolischer und diastolischer Blutdruck sanken um −4,77 bzw. −1,41 mmHg. Keine erhöhten unerwünschten Ereignisse.</w:t>
      </w:r>
    </w:p>
    <w:p>
      <w:r>
        <w:rPr>
          <w:b/>
          <w:sz w:val="19"/>
        </w:rPr>
        <w:t xml:space="preserve">Übertragbarkeit: </w:t>
      </w:r>
      <w:r>
        <w:rPr>
          <w:sz w:val="19"/>
        </w:rPr>
        <w:t>USA/international; Kostenfrage in Deutschland entscheidend – Paragraph 34 SGB V schließt Arzneimittel aus.</w:t>
      </w:r>
    </w:p>
    <w:p>
      <w:r>
        <w:rPr>
          <w:color w:val="5A7D3A"/>
          <w:sz w:val="18"/>
        </w:rPr>
        <w:t>https://pubmed.ncbi.nlm.nih.gov/42837024/</w:t>
      </w:r>
    </w:p>
    <w:p>
      <w:pPr>
        <w:pStyle w:val="Heading2"/>
      </w:pPr>
      <w:r>
        <w:t>Chaotisches Zuhause fördert emotionales Überessen bei Kindern</w:t>
      </w:r>
    </w:p>
    <w:p>
      <w:r>
        <w:rPr>
          <w:i/>
          <w:color w:val="666666"/>
          <w:sz w:val="18"/>
        </w:rPr>
        <w:t>Zhang Z et al.  ·  Front Public Health  ·  21.09.2026  ·  PMID 42835025</w:t>
      </w:r>
    </w:p>
    <w:p>
      <w:r>
        <w:t>Querschnittstudie mit Längsbeobachtung bei 92 Vorschülern und 184 Schulkindern zu Zusammenhang zwischen Haushalts-Chaos und appetitiven Merkmalen.</w:t>
      </w:r>
    </w:p>
    <w:p>
      <w:r>
        <w:rPr>
          <w:b/>
        </w:rPr>
        <w:t xml:space="preserve">Ergebnis: </w:t>
      </w:r>
      <w:r>
        <w:t>Chaos korrelierte positiv mit emotionalem Überessen in beiden Kohorten (Vorschüler: β=0,18, p=0,04; Schulkinder: β=0,19, p=0,003). Bei Schulkindern zusätzlich höhere Essensreaktivität (β=0,21, p&lt;0,001) und niedrigere Sättigungsreaktivität (β=−0,14, p=0,03).</w:t>
      </w:r>
    </w:p>
    <w:p>
      <w:r>
        <w:rPr>
          <w:b/>
          <w:sz w:val="19"/>
        </w:rPr>
        <w:t xml:space="preserve">Übertragbarkeit: </w:t>
      </w:r>
      <w:r>
        <w:rPr>
          <w:sz w:val="19"/>
        </w:rPr>
        <w:t>USA, aber Mechanismus (Stressverarbeitung) kulturübergreifend relevant; modulierbar durch Familienunterstützung.</w:t>
      </w:r>
    </w:p>
    <w:p>
      <w:r>
        <w:rPr>
          <w:color w:val="5A7D3A"/>
          <w:sz w:val="18"/>
        </w:rPr>
        <w:t>https://pubmed.ncbi.nlm.nih.gov/42835025/</w:t>
      </w:r>
    </w:p>
    <w:p>
      <w:pPr>
        <w:pStyle w:val="Heading2"/>
      </w:pPr>
      <w:r>
        <w:t>Adipositas in Katar: 74 % übergewichtig, Familie und Geschlecht als Risikofaktoren</w:t>
      </w:r>
    </w:p>
    <w:p>
      <w:r>
        <w:rPr>
          <w:i/>
          <w:color w:val="666666"/>
          <w:sz w:val="18"/>
        </w:rPr>
        <w:t>Al-Thani MH et al.  ·  BMJ Open  ·  05.10.2026  ·  PMID 42833715</w:t>
      </w:r>
    </w:p>
    <w:p>
      <w:r>
        <w:t>Nationale Querschnittstudie (Mai–Dezember 2023) mit 5.696 erwachsenen Katarern zur Prävalenz und Risikofaktoren von Übergewicht und Adipositas.</w:t>
      </w:r>
    </w:p>
    <w:p>
      <w:r>
        <w:rPr>
          <w:b/>
        </w:rPr>
        <w:t xml:space="preserve">Ergebnis: </w:t>
      </w:r>
      <w:r>
        <w:t>Kombinierte Prävalenz von Übergewicht und Adipositas 74,2 % (Übergewicht 36,4 %, Adipositas 37,8 %). Höchstes Risiko bei Frauen, Alter ≥45 Jahren, Familiengeschichte Adipositas (aRRR=2,17, p=0,004), höherer Herzfrequenz und niedrigerem HDL-Cholesterin (aRRR=0,37, p=0,003).</w:t>
      </w:r>
    </w:p>
    <w:p>
      <w:r>
        <w:rPr>
          <w:b/>
          <w:sz w:val="19"/>
        </w:rPr>
        <w:t xml:space="preserve">Übertragbarkeit: </w:t>
      </w:r>
      <w:r>
        <w:rPr>
          <w:sz w:val="19"/>
        </w:rPr>
        <w:t>Gering – Golfstaat, andere Erwerbstätigenstruktur; Prävalenztrends aber global relevant.</w:t>
      </w:r>
    </w:p>
    <w:p>
      <w:r>
        <w:rPr>
          <w:color w:val="5A7D3A"/>
          <w:sz w:val="18"/>
        </w:rPr>
        <w:t>https://pubmed.ncbi.nlm.nih.gov/42833715/</w:t>
      </w:r>
    </w:p>
    <w:p>
      <w:pPr>
        <w:pStyle w:val="Heading2"/>
      </w:pPr>
      <w:r>
        <w:t>Alkohol erhöht Metabolisches Syndrom: Sport reduziert, hebt aber nicht auf</w:t>
      </w:r>
    </w:p>
    <w:p>
      <w:r>
        <w:rPr>
          <w:i/>
          <w:color w:val="666666"/>
          <w:sz w:val="18"/>
        </w:rPr>
        <w:t>Courtney JB et al.  ·  Alcohol Alcohol  ·  20.09.2026  ·  PMID 42831802</w:t>
      </w:r>
    </w:p>
    <w:p>
      <w:r>
        <w:t>Querschnittanalyse der US-Nationale Health and Nutrition Examination Survey (2011–2020, n=3.227–5.586) zu Wechselwirkung von körperlicher Aktivität und Alkoholkonsum mit Metabolischem Syndrom.</w:t>
      </w:r>
    </w:p>
    <w:p>
      <w:r>
        <w:rPr>
          <w:b/>
        </w:rPr>
        <w:t xml:space="preserve">Ergebnis: </w:t>
      </w:r>
      <w:r>
        <w:t>Höhere körperliche Aktivität (Q2–Q4) reduzierte MetS-Risikofaktoren dosisabhängig (Q4: IRR=0,73, 95%-KI: 0,67–0,80). Alkoholkonsum ≤0,50–0,75 Drinks/Tag mit moderater Aktivität (Q3–Q4) assoziiert mit niedrigerem MetS-Risiko (OR=0,43–0,44). Substanzielle Heterogenität bei hohem Alkoholkonsum aufgrund Datensparsamkeit.</w:t>
      </w:r>
    </w:p>
    <w:p>
      <w:r>
        <w:rPr>
          <w:b/>
          <w:sz w:val="19"/>
        </w:rPr>
        <w:t xml:space="preserve">Übertragbarkeit: </w:t>
      </w:r>
      <w:r>
        <w:rPr>
          <w:sz w:val="19"/>
        </w:rPr>
        <w:t>USA, aber Evidenz zur Dosis-Wirkung und Prävention durch Lebensstil übertragbar auf Deutschland.</w:t>
      </w:r>
    </w:p>
    <w:p>
      <w:r>
        <w:rPr>
          <w:color w:val="5A7D3A"/>
          <w:sz w:val="18"/>
        </w:rPr>
        <w:t>https://pubmed.ncbi.nlm.nih.gov/42831802/</w:t>
      </w:r>
    </w:p>
    <w:p>
      <w:pPr>
        <w:pStyle w:val="Heading2"/>
      </w:pPr>
      <w:r>
        <w:t>Adipositas und Nierensteine: Geschlechtsspezifische Unterschiede in 10-Jahres-Verlauf</w:t>
      </w:r>
    </w:p>
    <w:p>
      <w:r>
        <w:rPr>
          <w:i/>
          <w:color w:val="666666"/>
          <w:sz w:val="18"/>
        </w:rPr>
        <w:t>Tao K et al.  ·  Urolithiasis  ·  03.10.2026  ·  PMID 42828682</w:t>
      </w:r>
    </w:p>
    <w:p>
      <w:r>
        <w:t>Retrospektive Kohortenstudie mit 10 Jahren Nachbeobachtung (n=24.418) zu Geschlechts-Unterschieden zwischen anthropometrischen Indizes und Nierensteinrisiko.</w:t>
      </w:r>
    </w:p>
    <w:p>
      <w:r>
        <w:rPr>
          <w:b/>
        </w:rPr>
        <w:t xml:space="preserve">Ergebnis: </w:t>
      </w:r>
      <w:r>
        <w:t>Bei Männern: Taille, Hüftumfang, BMI, gewichtsangepasster Taille-Index und Body-Roundness-Index signifikant mit Nierenstein-Inzidenz assoziiert (alle HR 1,06–1,11, p&lt;0,001). Bei Frauen nur baseline-BMI relevant (HR=1,35, p=0,016); Längseffekte bei Frauen nicht signifikant. Geschlechtsspezifische Mechanismen offensichtlich.</w:t>
      </w:r>
    </w:p>
    <w:p>
      <w:r>
        <w:rPr>
          <w:b/>
          <w:sz w:val="19"/>
        </w:rPr>
        <w:t xml:space="preserve">Übertragbarkeit: </w:t>
      </w:r>
      <w:r>
        <w:rPr>
          <w:sz w:val="19"/>
        </w:rPr>
        <w:t>China, aber metabolisch-urologische Pathophysiologie universell; Fettverteilung bei Männern stärker prädiktiv.</w:t>
      </w:r>
    </w:p>
    <w:p>
      <w:r>
        <w:rPr>
          <w:color w:val="5A7D3A"/>
          <w:sz w:val="18"/>
        </w:rPr>
        <w:t>https://pubmed.ncbi.nlm.nih.gov/42828682/</w:t>
      </w:r>
    </w:p>
    <w:p>
      <w:pPr>
        <w:pStyle w:val="Heading2"/>
      </w:pPr>
      <w:r>
        <w:t>Nachhaltige Ernährung und Adipositas: Unerwartet höheres Risiko trotz optimierter Diät</w:t>
      </w:r>
    </w:p>
    <w:p>
      <w:r>
        <w:rPr>
          <w:i/>
          <w:color w:val="666666"/>
          <w:sz w:val="18"/>
        </w:rPr>
        <w:t>Bergmann C et al.  ·  Am J Clin Nutr  ·  11.08.2026  ·  PMID 42580635</w:t>
      </w:r>
    </w:p>
    <w:p>
      <w:r>
        <w:t>Longitudinale Kohortenstudie (7 Jahre) bei 1.499 Ghanaern zu Zusammenhang zwischen optimierter nachhaltiger Ernährung (niedrige Emissionen, Kosten) und Adipositasinzidenz.</w:t>
      </w:r>
    </w:p>
    <w:p>
      <w:r>
        <w:rPr>
          <w:b/>
        </w:rPr>
        <w:t xml:space="preserve">Ergebnis: </w:t>
      </w:r>
      <w:r>
        <w:t>Höhere Adhärenz zur optimierten Ernährung war mit 19 % erhöhtem Risiko für abdominale Adipositas assoziiert (95%-KI: 1,00–1,42; p=0,049), signifikant in ländlichen und städtischen Gebieten. Gesamtadherenz war niedrig, was unerwartet inverse Befunde erklären könnte.</w:t>
      </w:r>
    </w:p>
    <w:p>
      <w:r>
        <w:rPr>
          <w:b/>
          <w:sz w:val="19"/>
        </w:rPr>
        <w:t xml:space="preserve">Übertragbarkeit: </w:t>
      </w:r>
      <w:r>
        <w:rPr>
          <w:sz w:val="19"/>
        </w:rPr>
        <w:t>Ghana, vergleichbar strukturiertes Gesundheitswesen; begrenzte Übertragbarkeit des Effekts auf Deutschland ohne lokale Validierung.</w:t>
      </w:r>
    </w:p>
    <w:p>
      <w:r>
        <w:rPr>
          <w:color w:val="5A7D3A"/>
          <w:sz w:val="18"/>
        </w:rPr>
        <w:t>https://pubmed.ncbi.nlm.nih.gov/42580635/</w:t>
      </w:r>
    </w:p>
    <w:p>
      <w:pPr>
        <w:pStyle w:val="Heading1"/>
      </w:pPr>
      <w:r>
        <w:t>Aufgenommen am 06.10.2026</w:t>
      </w:r>
    </w:p>
    <w:p>
      <w:pPr>
        <w:pStyle w:val="Heading2"/>
      </w:pPr>
      <w:r>
        <w:t>Fettfreie Körpermasse nach Adipositaschirurgie variiert nach Geschlecht und Menopausenstatus, Fitness verbessert sich dennoch</w:t>
      </w:r>
    </w:p>
    <w:p>
      <w:r>
        <w:rPr>
          <w:i/>
          <w:color w:val="666666"/>
          <w:sz w:val="18"/>
        </w:rPr>
        <w:t>van der Meer R et al.  ·  Am J Clin Nutr  ·  04.09.2026  ·  PMID 42833817</w:t>
      </w:r>
    </w:p>
    <w:p>
      <w:r>
        <w:t>Longitudinale Kohortenstudie (SOPHIA) mit 1.022 Personen nach Adipositaschirurgie (221 Männer, 614 prämenopausale Frauen, 187 postmenopausale Frauen): Muster der fettfreien Körpermasse und kardiorespiratorische Fitness über ≥18 Monate bis 72 Monate nach Operation.</w:t>
      </w:r>
    </w:p>
    <w:p>
      <w:r>
        <w:rPr>
          <w:b/>
        </w:rPr>
        <w:t xml:space="preserve">Ergebnis: </w:t>
      </w:r>
      <w:r>
        <w:t>Bei 24 Monaten: prämenopausale Frauen verloren niedrigsten Anteil an fettfreier Körpermasse relativ zu Gewichtsverlust (24,7% vs. 27,1% Männer und 28,7% postmenopausale Frauen). Trotz substantiellem Verlust an fettfreier Körpermasse verbesserte sich maximale Sauerstoffaufnahme signifikant in allen Gruppen. Postoperative Veränderungen der fettfreien Körpermasse waren nicht unabhängig mit kardiorespiratorischer Fitness assoziiert.</w:t>
      </w:r>
    </w:p>
    <w:p>
      <w:r>
        <w:rPr>
          <w:b/>
          <w:sz w:val="19"/>
        </w:rPr>
        <w:t xml:space="preserve">Übertragbarkeit: </w:t>
      </w:r>
      <w:r>
        <w:rPr>
          <w:sz w:val="19"/>
        </w:rPr>
        <w:t>Niederlande, spezialisierte Adipositaschirurgie-Kohorte, vergleichbar mit deutschem System</w:t>
      </w:r>
    </w:p>
    <w:p>
      <w:r>
        <w:rPr>
          <w:color w:val="5A7D3A"/>
          <w:sz w:val="18"/>
        </w:rPr>
        <w:t>https://pubmed.ncbi.nlm.nih.gov/42833817/</w:t>
      </w:r>
    </w:p>
    <w:p>
      <w:pPr>
        <w:pStyle w:val="Heading2"/>
      </w:pPr>
      <w:r>
        <w:t>Kaiserschnitt moderat mit Übergewicht bei 6-jährigen Kindern assoziiert, Geschlecht mediiert Effekt</w:t>
      </w:r>
    </w:p>
    <w:p>
      <w:r>
        <w:rPr>
          <w:i/>
          <w:color w:val="666666"/>
          <w:sz w:val="18"/>
        </w:rPr>
        <w:t>Terashita S et al.  ·  Eur J Pediatr  ·  05.10.2026  ·  PMID 42832097</w:t>
      </w:r>
    </w:p>
    <w:p>
      <w:r>
        <w:t>Prospektive Kohortenstudie Japan Environment and Children's Study mit 64.281 Mutter-Kind-Paaren: Zusammenhang zwischen Kaiserschnitt-Entbindung und Übergewicht im Alter 6 Jahren nach internationalen Klassifikationskriterien.</w:t>
      </w:r>
    </w:p>
    <w:p>
      <w:r>
        <w:rPr>
          <w:b/>
        </w:rPr>
        <w:t xml:space="preserve">Ergebnis: </w:t>
      </w:r>
      <w:r>
        <w:t>Übergewicht bei 6 Jahren häufiger nach Kaiserschnitt als vaginal (10,7% vs. 8,8%). Nach Anpassung: adjustierte OR 1,09 (95%-KI 1,02–1,16). Geschlechtsspezifische Analysen zeigten: Kaiserschnitt mit neu entwickeltem Übergewicht zwischen 3–6 Jahren bei Mädchen, nicht bei Jungen assoziiert. Kaiserschnitt nicht signifikant mit früherer adiposity rebound assoziiert.</w:t>
      </w:r>
    </w:p>
    <w:p>
      <w:r>
        <w:rPr>
          <w:b/>
          <w:sz w:val="19"/>
        </w:rPr>
        <w:t xml:space="preserve">Übertragbarkeit: </w:t>
      </w:r>
      <w:r>
        <w:rPr>
          <w:sz w:val="19"/>
        </w:rPr>
        <w:t>Japan, große nationale Geburtskohorte; Übertragbarkeit auf Deutschland begrenzt durch unterschiedliche Kaiserschnittquoten und ethnische Zusammensetzung</w:t>
      </w:r>
    </w:p>
    <w:p>
      <w:r>
        <w:rPr>
          <w:color w:val="5A7D3A"/>
          <w:sz w:val="18"/>
        </w:rPr>
        <w:t>https://pubmed.ncbi.nlm.nih.gov/42832097/</w:t>
      </w:r>
    </w:p>
    <w:p>
      <w:pPr>
        <w:pStyle w:val="Heading2"/>
      </w:pPr>
      <w:r>
        <w:t>Telefonische Pflege-Beratung zeigte kurzzeitige Verbesserung der Körperzusammensetzung, nicht aber dauerhafte Effekte</w:t>
      </w:r>
    </w:p>
    <w:p>
      <w:r>
        <w:rPr>
          <w:i/>
          <w:color w:val="666666"/>
          <w:sz w:val="18"/>
        </w:rPr>
        <w:t>Garcia-Coll N et al.  ·  Front Endocrinol (Lausanne)  ·  17.09.2026  ·  PMID 42824031</w:t>
      </w:r>
    </w:p>
    <w:p>
      <w:r>
        <w:t>Sekundäranalyse der randomisierten PREDIPHONE-Studie mit 174 Erwachsenen (Durchschnittsalter 61 Jahre, 52% Frauen) mit Prädiabetes und Übergewicht/Adipositas: Vergleich einer telefonischen Pflege-Lebensstiländerung vs. SMS-Kontrolle über 15 Monate mit Körperzusammensetzungsmessungen.</w:t>
      </w:r>
    </w:p>
    <w:p>
      <w:r>
        <w:rPr>
          <w:b/>
        </w:rPr>
        <w:t xml:space="preserve">Ergebnis: </w:t>
      </w:r>
      <w:r>
        <w:t>Nach 4 Monaten: Reduktion von viszeralem Fett und Fettmasse in der Interventionsgruppe vs. Kontrolle. Diese Verbesserungen hielten nicht bei 9 oder 15 Monaten an. Keine signifikanten Unterschiede in Muskelaufbau oder BMI. Intensivere oder längerfristige Strategien könnten erforderlich sein für nachhaltige Effekte.</w:t>
      </w:r>
    </w:p>
    <w:p>
      <w:r>
        <w:rPr>
          <w:b/>
          <w:sz w:val="19"/>
        </w:rPr>
        <w:t xml:space="preserve">Übertragbarkeit: </w:t>
      </w:r>
      <w:r>
        <w:rPr>
          <w:sz w:val="19"/>
        </w:rPr>
        <w:t>Spanien, primärärztliche Telemedizin-Intervention, vergleichbar mit deutschem Versorgungskontext</w:t>
      </w:r>
    </w:p>
    <w:p>
      <w:r>
        <w:rPr>
          <w:color w:val="5A7D3A"/>
          <w:sz w:val="18"/>
        </w:rPr>
        <w:t>https://pubmed.ncbi.nlm.nih.gov/42824031/</w:t>
      </w:r>
    </w:p>
    <w:p>
      <w:pPr>
        <w:pStyle w:val="Heading2"/>
      </w:pPr>
      <w:r>
        <w:t>GLP-1-Rezeptoragonisten: nephroprotektive Effekte bei chronischer Nierenkrankheit und Diabetes</w:t>
      </w:r>
    </w:p>
    <w:p>
      <w:r>
        <w:rPr>
          <w:i/>
          <w:color w:val="666666"/>
          <w:sz w:val="18"/>
        </w:rPr>
        <w:t>Boeckhaus J et al.  ·  Clin Sci (Lond)  ·  14.10.2026  ·  PMID 42820470</w:t>
      </w:r>
    </w:p>
    <w:p>
      <w:r>
        <w:t>Narrative Übersichtsarbeit zur Evidenz von GLP-1-Rezeptoragonisten in der Nierenprotektion: Mechanismen und klinische Ergebnisse aus kardiovaskulären Studien und Nierenschutz-Studien bei Typ-2-Diabetes mit chronischer Nierenkrankheit.</w:t>
      </w:r>
    </w:p>
    <w:p>
      <w:r>
        <w:rPr>
          <w:b/>
        </w:rPr>
        <w:t xml:space="preserve">Ergebnis: </w:t>
      </w:r>
      <w:r>
        <w:t>GLP-1-Rezeptoragonisten zeigen Reduktion schwerwiegender kardiovaskulärer Ereignisse, Verlangsamung der Nierenkrankheitsprogression (gemessen an eGFR-Rückgang) und Albuminurie-Reduktion. Mechanismen beinhalten anti-inflammatorische, anti-fibrotische und antioxidative Effekte. Autoren betonen Sicherheitsprofile und mögliche Risiken.</w:t>
      </w:r>
    </w:p>
    <w:p>
      <w:r>
        <w:rPr>
          <w:b/>
          <w:sz w:val="19"/>
        </w:rPr>
        <w:t xml:space="preserve">Übertragbarkeit: </w:t>
      </w:r>
      <w:r>
        <w:rPr>
          <w:sz w:val="19"/>
        </w:rPr>
        <w:t>UK, Übersicht internationaler Studienevidenz; Kostenübernahme in Deutschland eingeschränkt (§34 SGB V)</w:t>
      </w:r>
    </w:p>
    <w:p>
      <w:r>
        <w:rPr>
          <w:color w:val="5A7D3A"/>
          <w:sz w:val="18"/>
        </w:rPr>
        <w:t>https://pubmed.ncbi.nlm.nih.gov/42820470/</w:t>
      </w:r>
    </w:p>
    <w:p>
      <w:pPr>
        <w:pStyle w:val="Heading2"/>
      </w:pPr>
      <w:r>
        <w:t>Vertraute Ärzte verbessern Erfolg von Video-Lebensstiländerungen bei Adipositas</w:t>
      </w:r>
    </w:p>
    <w:p>
      <w:r>
        <w:rPr>
          <w:i/>
          <w:color w:val="666666"/>
          <w:sz w:val="18"/>
        </w:rPr>
        <w:t>Taverner-Aparicio A et al.  ·  Patient Educ Couns  ·  07.09.2026  ·  PMID 42727166</w:t>
      </w:r>
    </w:p>
    <w:p>
      <w:r>
        <w:t>Randomisierte Studie an 115 Erwachsenen mit Übergewicht oder Adipositas Grad I in Valencia: Vergleich videogestützter Lebensstiländerung von bekannten vs. unbekannten Primärärzten.</w:t>
      </w:r>
    </w:p>
    <w:p>
      <w:r>
        <w:rPr>
          <w:b/>
        </w:rPr>
        <w:t xml:space="preserve">Ergebnis: </w:t>
      </w:r>
      <w:r>
        <w:t>Patienten der bekannten Ärzte erreichten -0,5 kg/m² BMI mehr (95%-KI -0,9 bis -0,1; p=0,013) und reduzierten wöchentliche Sitzzeit um 39 Minuten (95%-KI -77 bis -0,2; p=0,049). Per-Protocol-Analyse zeigte -0,9 kg/m² (95%-KI -1,6 bis -0,2; p=0,009). Kontinuität in der ärztlichen Beziehung trägt zur Wirksamkeit digitaler Lebensstiländerungen bei.</w:t>
      </w:r>
    </w:p>
    <w:p>
      <w:r>
        <w:rPr>
          <w:b/>
          <w:sz w:val="19"/>
        </w:rPr>
        <w:t xml:space="preserve">Übertragbarkeit: </w:t>
      </w:r>
      <w:r>
        <w:rPr>
          <w:sz w:val="19"/>
        </w:rPr>
        <w:t>Spanien, primärärztliche Versorgung, vergleichbar mit deutschem Gesundheitssystem</w:t>
      </w:r>
    </w:p>
    <w:p>
      <w:r>
        <w:rPr>
          <w:color w:val="5A7D3A"/>
          <w:sz w:val="18"/>
        </w:rPr>
        <w:t>https://pubmed.ncbi.nlm.nih.gov/42727166/</w:t>
      </w:r>
    </w:p>
    <w:p>
      <w:pPr>
        <w:pStyle w:val="Heading2"/>
      </w:pPr>
      <w:r>
        <w:t>Proteinquellen in der Schwangerschaft beeinflussen Gewichtsverlauf von Mutter und Kind</w:t>
      </w:r>
    </w:p>
    <w:p>
      <w:r>
        <w:rPr>
          <w:i/>
          <w:color w:val="666666"/>
          <w:sz w:val="18"/>
        </w:rPr>
        <w:t>Zhang H et al.  ·  Am J Clin Nutr  ·  11.09.2026  ·  PMID 42665051</w:t>
      </w:r>
    </w:p>
    <w:p>
      <w:r>
        <w:t>Prospektive Kohortenstudie mit 59.791 dänischen Müttern: Zusammenhang zwischen Proteinquellen in Woche 25 der Gravidität und Gewichtsretention &gt;5 kg postpartal sowie Übergewicht/Adipositas der Kinder im Alter 7–11 Jahren.</w:t>
      </w:r>
    </w:p>
    <w:p>
      <w:r>
        <w:rPr>
          <w:b/>
        </w:rPr>
        <w:t xml:space="preserve">Ergebnis: </w:t>
      </w:r>
      <w:r>
        <w:t>Höhere pflanzliche Proteinzufuhr senkte Risiko mütterlicher Gewichtsretention &gt;5 kg (Q5 vs. Q1: RR 0,86; 95%-KI 0,81–0,91). Höhere Rotfleischproteinzufuhr erhöhte Risiko (RR 1,11; 95%-KI 1,05–1,17). Bei Kindern: höhere tierische Proteine (RR 1,12; 95%-KI 1,05–1,19) und Rotfleisch (RR 1,06; 95%-KI 1,00–1,13) mit höherem Adipositasrisiko. Ersatz von 1% Rotfleisch- oder Milchprotein durch Geflügel/Fisch reduzierte mütterliches Risiko um 4–6%.</w:t>
      </w:r>
    </w:p>
    <w:p>
      <w:r>
        <w:rPr>
          <w:b/>
          <w:sz w:val="19"/>
        </w:rPr>
        <w:t xml:space="preserve">Übertragbarkeit: </w:t>
      </w:r>
      <w:r>
        <w:rPr>
          <w:sz w:val="19"/>
        </w:rPr>
        <w:t>Dänemark, Geburtskohortenstudie, direkt auf deutschsprachige Prävention übertragbar</w:t>
      </w:r>
    </w:p>
    <w:p>
      <w:r>
        <w:rPr>
          <w:color w:val="5A7D3A"/>
          <w:sz w:val="18"/>
        </w:rPr>
        <w:t>https://pubmed.ncbi.nlm.nih.gov/42665051/</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Jiménez-Flores E et al.  ·  Nutrients  ·  20.09.2026  ·  PMID 42797057</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https://pubmed.ncbi.nlm.nih.gov/42797057/</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Evans C et al.  ·  Nutrients  ·  02.09.2026  ·  PMID 42739050</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https://pubmed.ncbi.nlm.nih.gov/42739050/</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GRACE-Studie in Spanien und 5 Ländern</w:t>
      </w:r>
    </w:p>
    <w:p>
      <w:r>
        <w:rPr>
          <w:i/>
          <w:color w:val="666666"/>
          <w:sz w:val="18"/>
        </w:rPr>
        <w:t>Ciriza-Barea E et al.  ·  Rev Esp Salud Publica  ·  03.09.2026  ·  PMID 42690077</w:t>
      </w:r>
    </w:p>
    <w:p>
      <w:r>
        <w:t>GRACE-Studienprotokoll, prospektive Querschnittsuntersuchung über Geschlechtsdifferenzen in der Körperbildwahrnehmung bei krebs-induziertem Gewichtsverlust, später auch prospektive Prüfung: Naturkontakt bei Kindern (7–14 J.) und Adipositas-Assoziationen in Spanien und 5 weiteren Ländern.</w:t>
      </w:r>
    </w:p>
    <w:p>
      <w:r>
        <w:rPr>
          <w:b/>
        </w:rPr>
        <w:t xml:space="preserve">Ergebnis: </w:t>
      </w:r>
      <w:r>
        <w:t>Studienprotokoll für 600 Kinder (50 % Mädchen) über 12 Monate; primärer Endpunkt ist Unterschied in Körperbildskala-Scores zwischen Geschlechtern (3 Punkte als klinisch relevant). Dabei Erfassung von physischer Aktivität, Bildschirmzeit, psychischen und schulischen Faktoren.</w:t>
      </w:r>
    </w:p>
    <w:p>
      <w:r>
        <w:rPr>
          <w:b/>
          <w:sz w:val="19"/>
        </w:rPr>
        <w:t xml:space="preserve">Übertragbarkeit: </w:t>
      </w:r>
      <w:r>
        <w:rPr>
          <w:sz w:val="19"/>
        </w:rPr>
        <w:t>Spanien und multinationale Kohörte, primärmedizinische Versorgung, Prävention im schulischen Kontext.</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2026-10-08T06:00:00Z</dcterms:created>
  <dcterms:modified xsi:type="dcterms:W3CDTF">2026-10-08T06:00:00Z</dcterms:modified>
  <cp:category/>
</cp:coreProperties>
</file>