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14.09.2026  |  6 Studien  |  adipositas.m-vf.de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Speckle-Tracking zeigt Karotis-Steifheit bei Metabolischem Syndrom</w:t>
      </w:r>
    </w:p>
    <w:p>
      <w:r>
        <w:rPr>
          <w:i/>
          <w:color w:val="666666"/>
          <w:sz w:val="18"/>
        </w:rPr>
        <w:t>Topan ED et al.  ·  BMC Med Imaging  ·  11.09.2026  ·  PMID 42728590</w:t>
      </w:r>
    </w:p>
    <w:p>
      <w:r>
        <w:t>Retrospektive Querschnittsstudie von n=100 Teilnehmern (50 mit Metabolischem Syndrom, 50 Kontrollen) zur Bewertung multidimensionaler Karotis-Mechanik mittels Speckle-Tracking-Ultrasonographie und deren Assoziation mit metabolischer Belastung.</w:t>
      </w:r>
    </w:p>
    <w:p>
      <w:r>
        <w:rPr>
          <w:b/>
        </w:rPr>
        <w:t xml:space="preserve">Ergebnis: </w:t>
      </w:r>
      <w:r>
        <w:t>Patienten mit Metabolischem Syndrom zeigten signifikant erhöhte Steifheitsparameter (elastischer Modul, Pulswellengeschwindigkeit) und reduzierte Compliance-Indizes (alle p&lt;0,05). Dehnungsanalyse ergab signifikant niedrigere radiale und zirkumferentielle Dehnungswerte in der MetS-Gruppe, besonders ausgeprägt in der transversalen Ebene (alle p&lt;0,001). MetS-Status war einer der wichtigsten Determinanten bei CART-Analyse.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Türkische Klinik, aber Ultraschall-Methode international standardisiert; funktionelle Vaskulärmechanik</w:t>
      </w:r>
    </w:p>
    <w:p>
      <w:r>
        <w:rPr>
          <w:color w:val="5A7D3A"/>
          <w:sz w:val="18"/>
        </w:rPr>
        <w:t>https://pubmed.ncbi.nlm.nih.gov/42728590/</w:t>
      </w:r>
    </w:p>
    <w:p>
      <w:pPr>
        <w:pStyle w:val="Heading2"/>
      </w:pPr>
      <w:r>
        <w:t>Sarkopenische Adipositas erhöht chronische Lungenerkrankung um 50 Prozent</w:t>
      </w:r>
    </w:p>
    <w:p>
      <w:r>
        <w:rPr>
          <w:i/>
          <w:color w:val="666666"/>
          <w:sz w:val="18"/>
        </w:rPr>
        <w:t>Guo H et al.  ·  Chron Respir Dis  ·  11.09.2026  ·  PMID 42727588</w:t>
      </w:r>
    </w:p>
    <w:p>
      <w:r>
        <w:t>Prospektive Kohortenstudie aus China (CHARLS) und UK (ELSA) mit n=6.008 Teilnehmern ohne Lungenerkrankung zu Assoziationen zwischen sarkopenischer Adipositas und incidenter chronischer Lungenerkrankung.</w:t>
      </w:r>
    </w:p>
    <w:p>
      <w:r>
        <w:rPr>
          <w:b/>
        </w:rPr>
        <w:t xml:space="preserve">Ergebnis: </w:t>
      </w:r>
      <w:r>
        <w:t>Während der Nachbeobachtung (2011–2020) entwickelten 122 von 3.572 CHARLS-Teilnehmern und 101 von 2.436 ELSA-Teilnehmern chronische Lungenerkrankung. Nach vollständiger Adjustierung zeigte sarkopenische Adipositas ein HR von 1,50 (p=0,003) in CHARLS und 2,19 (p=0,006) in ELSA.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Zwei europäische und asiatische Kohorten, Dokumentation vergleichbar; Körperzusammensetzung als Funktionsmarker relevant</w:t>
      </w:r>
    </w:p>
    <w:p>
      <w:r>
        <w:rPr>
          <w:color w:val="5A7D3A"/>
          <w:sz w:val="18"/>
        </w:rPr>
        <w:t>https://pubmed.ncbi.nlm.nih.gov/42727588/</w:t>
      </w:r>
    </w:p>
    <w:p>
      <w:pPr>
        <w:pStyle w:val="Heading2"/>
      </w:pPr>
      <w:r>
        <w:t>BMI modifiziert Lärmbelastungs-Effekt auf Fettleber in Fabrikarbeitern</w:t>
      </w:r>
    </w:p>
    <w:p>
      <w:r>
        <w:rPr>
          <w:i/>
          <w:color w:val="666666"/>
          <w:sz w:val="18"/>
        </w:rPr>
        <w:t>Liu D et al.  ·  PLoS One  ·  11.09.2026  ·  PMID 42726755</w:t>
      </w:r>
    </w:p>
    <w:p>
      <w:r>
        <w:t>Retrospektive Querschnittsstudie von n=769 männlichen Werkarbeitern mit Lärmexposition zur Untersuchung der Assoziation zwischen Lärmexpositionsdauer und Ultraschall-detektierter Steatosis hepatis sowie BMI als Moderator.</w:t>
      </w:r>
    </w:p>
    <w:p>
      <w:r>
        <w:rPr>
          <w:b/>
        </w:rPr>
        <w:t xml:space="preserve">Ergebnis: </w:t>
      </w:r>
      <w:r>
        <w:t>Insgesamt 53,2% der Arbeiter hatten hepatische Steatosis. Lärmexpositionsdauer zeigte unabhängige Assoziation mit Steatosis; modifizierte Poisson-Regression zeigte negativen Interaktionseffekt mit BMI (p=0,006). Bei Normalgewichtigen war jedes zusätzliche Jahr Lärmexposition mit 8,2% höherer Steatosis-Wahrscheinlichkeit assoziiert (p&lt;0,001), nicht signifikant bei Übergewicht/Adipositas. Kritischer Schwellenwert BMI 27,7 kg/m².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Lärmexpositions-Effektmodifikation ist gesundheitspolitisch relevant; Berufskrankheit</w:t>
      </w:r>
    </w:p>
    <w:p>
      <w:r>
        <w:rPr>
          <w:color w:val="5A7D3A"/>
          <w:sz w:val="18"/>
        </w:rPr>
        <w:t>https://pubmed.ncbi.nlm.nih.gov/42726755/</w:t>
      </w:r>
    </w:p>
    <w:p>
      <w:pPr>
        <w:pStyle w:val="Heading2"/>
      </w:pPr>
      <w:r>
        <w:t>Adipositas verschärft MS-Behinderung nur ohne HLA-A*02:01-Allel</w:t>
      </w:r>
    </w:p>
    <w:p>
      <w:r>
        <w:rPr>
          <w:i/>
          <w:color w:val="666666"/>
          <w:sz w:val="18"/>
        </w:rPr>
        <w:t>Guo J et al.  ·  J Neurol  ·  08.09.2026  ·  PMID 42709196</w:t>
      </w:r>
    </w:p>
    <w:p>
      <w:r>
        <w:t>Schwedische bevölkerungsbasierte Fall-Kontroll-Studie mit n=2.117 MS-Patienten (Erkrankungsdauer ≤5 Jahre) zur Frage, ob Adipositas-Effekte auf Behinderungsprogression vom HLA-A*02:01-Status abhängen.</w:t>
      </w:r>
    </w:p>
    <w:p>
      <w:r>
        <w:rPr>
          <w:b/>
        </w:rPr>
        <w:t xml:space="preserve">Ergebnis: </w:t>
      </w:r>
      <w:r>
        <w:t>Bei Patienten ohne HLA-A*02:01 war Adipositas (BMI&gt;30) mit erhöhtem Risiko für confirmed disability worsening assoziiert (HR 1,49; 95%-KI 1,12–1,82), mit HR 1,90 für EDSS-Stadium 3 und HR 2,30 für Stadium 4. Bei HLA-A*02:01-positiven Personen fanden sich keine entsprechenden Assoziationen. Additive Interaktionsanalyse stützte einen gemeinsamen Effekt.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Krankheitsregister-Verfolgung, europäisches System; genetische Modifikation versorgungsrelevant</w:t>
      </w:r>
    </w:p>
    <w:p>
      <w:r>
        <w:rPr>
          <w:color w:val="5A7D3A"/>
          <w:sz w:val="18"/>
        </w:rPr>
        <w:t>https://pubmed.ncbi.nlm.nih.gov/42709196/</w:t>
      </w:r>
    </w:p>
    <w:p>
      <w:pPr>
        <w:pStyle w:val="Heading2"/>
      </w:pPr>
      <w:r>
        <w:t>Metabolisches Syndrom erhöht kardiovaskuläres Multimorbidität-Risiko in drei Ländern</w:t>
      </w:r>
    </w:p>
    <w:p>
      <w:r>
        <w:rPr>
          <w:i/>
          <w:color w:val="666666"/>
          <w:sz w:val="18"/>
        </w:rPr>
        <w:t>Zhang W et al.  ·  Sci Rep  ·  24.07.2026  ·  PMID 42693153</w:t>
      </w:r>
    </w:p>
    <w:p>
      <w:r>
        <w:t>Prospektive Kohortenstudie in China, USA und UK (n=17.894) über Assoziation eines kontinuierlichen Metabolischen Syndrom-Scores mit kardiovaskulärer Multimorbidität.</w:t>
      </w:r>
    </w:p>
    <w:p>
      <w:r>
        <w:rPr>
          <w:b/>
        </w:rPr>
        <w:t xml:space="preserve">Ergebnis: </w:t>
      </w:r>
      <w:r>
        <w:t>Nach medianer Nachbeobachtung von 4–7 Jahren traten 1.061 Fälle kardiovaskulärer Multimorbidität auf. Im höchsten Tertil des Metabolischen Syndrom-Scores lag das Hazard Ratio bei 4,27 (CHARLS), 1,77 (HRS) und 1,54 (ELSA). Der gepoolte HR pro 1-SD-Anstieg betrug 1,35 (95%-KI 1,17–1,56). Die Dosis-Wirkungs-Beziehung war nichtlinear in China, linear in USA und UK.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UK-Biobank-Daten, international vergleichbar; Metabolisches Syndrom ist zentral für deutsche Risikostratifizierung</w:t>
      </w:r>
    </w:p>
    <w:p>
      <w:r>
        <w:rPr>
          <w:color w:val="5A7D3A"/>
          <w:sz w:val="18"/>
        </w:rPr>
        <w:t>https://pubmed.ncbi.nlm.nih.gov/42693153/</w:t>
      </w:r>
    </w:p>
    <w:p>
      <w:pPr>
        <w:pStyle w:val="Heading2"/>
      </w:pPr>
      <w:r>
        <w:t>Adipositas in Kindesalter (5–7 Jahre) ist mit viszeralem Fett im Erwachsenenalter verbunden</w:t>
      </w:r>
    </w:p>
    <w:p>
      <w:r>
        <w:rPr>
          <w:i/>
          <w:color w:val="666666"/>
          <w:sz w:val="18"/>
        </w:rPr>
        <w:t>Lai Q et al.  ·  BMJ Open  ·  16.07.2026  ·  PMID 42463217</w:t>
      </w:r>
    </w:p>
    <w:p>
      <w:r>
        <w:t>Zwei-Stichproben-Mendelsche Randomisierung mit Daten aus Early Growth Genetics Consortium und UK Biobank (n=195.000+) zu altersabhängigen Assoziationen genetisch vorhergesagtem Kindes-BMI mit MRT-gemessenem adultem Fettverteilungsmuster.</w:t>
      </w:r>
    </w:p>
    <w:p>
      <w:r>
        <w:rPr>
          <w:b/>
        </w:rPr>
        <w:t xml:space="preserve">Ergebnis: </w:t>
      </w:r>
      <w:r>
        <w:t>Höherer genetisch vorhergesagter BMI im Alter von 1,5–2 Jahren war mit erhöhtem abdominalem subkutanem Fett assoziiert. Viszerales Fett zeigte das stärkste Signal: höherer BMI im Alter von 5–7 Jahren war mit niedrigerem viszeralem Fett im Erwachsenenalter assoziiert (inverse Assoziationen). Nach Adjustierung für Adoleszenten-BMI schwächten sich die meisten Assoziationen ab; inverse Assoziationen bei 5–7 Jahren blieben nominal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UK-Biobank-Genetik, europäische Geburtskohorte Early Growth Genetics; frühe Fettverteilung determiniert späteren Phänotyp</w:t>
      </w:r>
    </w:p>
    <w:p>
      <w:r>
        <w:rPr>
          <w:color w:val="5A7D3A"/>
          <w:sz w:val="18"/>
        </w:rPr>
        <w:t>https://pubmed.ncbi.nlm.nih.gov/42463217/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2026-09-14T06:00:00Z</dcterms:created>
  <dcterms:modified xsi:type="dcterms:W3CDTF">2026-09-14T06:00:00Z</dcterms:modified>
  <cp:category/>
</cp:coreProperties>
</file>