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16.10.2026  |  6 Studien  |  adipositas.m-vf.de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Sarkopenie plus Adipositas verdoppelte Funktionsbehinderungen bei älteren Brasilianern</w:t>
      </w:r>
    </w:p>
    <w:p>
      <w:r>
        <w:rPr>
          <w:i/>
          <w:color w:val="666666"/>
          <w:sz w:val="18"/>
        </w:rPr>
        <w:t>Danielewicz AL et al.  ·  Cien Saude Colet  ·  09.10.2026  ·  PMID 42879635</w:t>
      </w:r>
    </w:p>
    <w:p>
      <w:r>
        <w:t>Querschnittstudie der Brazilian Longitudinal Study of Aging (6.874 ältere Erwachsene ≥ 60 Jahre, 2019–2021); Assoziationen zwischen isolierter Sarkopenie und Kombination mit allgemeiner oder abdominaler Adipositas (nach SDOC-Kriterien: niedrige Gehgeschwindigkeit + geringe Handkraft) und Einschränkungen in Alltags- und instrumentellen Aktivitäten wurden geschlechtsstratifiziert analysiert.</w:t>
      </w:r>
    </w:p>
    <w:p>
      <w:r>
        <w:rPr>
          <w:b/>
        </w:rPr>
        <w:t xml:space="preserve">Ergebnis: </w:t>
      </w:r>
      <w:r>
        <w:t>Frauen mit Sarkopenie + allgemeiner Adipositas: OR 3,37 (95 % CI 1,47–7,71) für Alltags-Einschränkungen; mit abdominaler Adipositas: OR 2,59 (95 % CI 1,16–5,76). Sarkopenie allein erhöhte Instrumental-Aktivitäts-Einschränkungen bei Frauen (OR 2,08; 95 % CI 1,59–2,71) und Männern (OR 2,49; 95 % CI 1,67–3,73). Kombinierte Sarkopenie-Adipositas zeigte konsistent erhöhte Odds über Geschlecht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entwickeltes Land, aber andere Sozialversicherung; Phänomen der adipösen Sarkopenie übertragbar</w:t>
      </w:r>
    </w:p>
    <w:p>
      <w:r>
        <w:rPr>
          <w:color w:val="5A7D3A"/>
          <w:sz w:val="18"/>
        </w:rPr>
        <w:t>https://pubmed.ncbi.nlm.nih.gov/42879635/</w:t>
      </w:r>
    </w:p>
    <w:p>
      <w:pPr>
        <w:pStyle w:val="Heading2"/>
      </w:pPr>
      <w:r>
        <w:t>Ultraprozessierte Nahrung assoziiert mit Hirnverletzungen und erhöhtem Adipositasrisiko</w:t>
      </w:r>
    </w:p>
    <w:p>
      <w:r>
        <w:rPr>
          <w:i/>
          <w:color w:val="666666"/>
          <w:sz w:val="18"/>
        </w:rPr>
        <w:t>de Souza RJ et al.  ·  JAMA Netw Open  ·  01.10.2026  ·  PMID 42879154</w:t>
      </w:r>
    </w:p>
    <w:p>
      <w:r>
        <w:t>Querschnittstudie von 8.783 kanadischen Erwachsenen mittleren Alters ohne kardiovaskuläre Erkrankung; Assoziationen zwischen Aufnahme ultraprozessierter Lebensmittel (UPF), gemessen mit Ernährungsfragebögen, und Körperfettanteil, viszerales Fett, Hirnverletzungen sowie kognitives Testergebnis wurden analysiert.</w:t>
      </w:r>
    </w:p>
    <w:p>
      <w:r>
        <w:rPr>
          <w:b/>
        </w:rPr>
        <w:t xml:space="preserve">Ergebnis: </w:t>
      </w:r>
      <w:r>
        <w:t>Höchste UPF-Quartile gegenüber niedrigster: Körperfettanteil um 1,7 Prozentpunkte höher, viszerales Fett um 5,7 mL größer. Erhöhte Odds für Hirnverletzungen (aOR 1,40; 95 % CI 1,10–1,77; p = 0,009). Keine signifikanten Assoziationen mit kognitiven Tests. Erkenntnisse zur Hirnverletzung waren sensibel gegenüber Expositionsdefinition.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Kanada; vergleichbare Ernährungsmuster, Sozialversicherung ähnlich</w:t>
      </w:r>
    </w:p>
    <w:p>
      <w:r>
        <w:rPr>
          <w:color w:val="5A7D3A"/>
          <w:sz w:val="18"/>
        </w:rPr>
        <w:t>https://pubmed.ncbi.nlm.nih.gov/42879154/</w:t>
      </w:r>
    </w:p>
    <w:p>
      <w:pPr>
        <w:pStyle w:val="Heading2"/>
      </w:pPr>
      <w:r>
        <w:t>Qualitätsprogramm erhöhte ärztliches Vertrauen in evidenzbasierte Adipositas-Versorgung</w:t>
      </w:r>
    </w:p>
    <w:p>
      <w:r>
        <w:rPr>
          <w:i/>
          <w:color w:val="666666"/>
          <w:sz w:val="18"/>
        </w:rPr>
        <w:t>Bodrick NI et al.  ·  Am J Health Promot  ·  16.01.2026  ·  PMID 42876243</w:t>
      </w:r>
    </w:p>
    <w:p>
      <w:r>
        <w:t>Qualitätsverbesserungsprogramm in zwei US-amerikanischen Primarversorgungszentren zur Umsetzung evidenzbasierter Adipositas-Behandlung; Evaluiert wurden Wissensgewinne und Selbstsicherheit der Ärzte sowie wahrgenommene Verbesserungen durch Fragebogen und Interviews.</w:t>
      </w:r>
    </w:p>
    <w:p>
      <w:r>
        <w:rPr>
          <w:b/>
        </w:rPr>
        <w:t xml:space="preserve">Ergebnis: </w:t>
      </w:r>
      <w:r>
        <w:t>33 % der 42 angesprochenen Kliniker (14 Ärzte) vollendeten beide Befragungen. Die klinische Selbstsicherheit in Diagnose und Management der Adipositas stieg signifikant (χ² = 12,0, p = 0,0005). Qualitativ wurden drei zentrale Themen identifiziert: Verbesserung des Adipositas-Managements, Barrieren in der Versorgung und gesteigertes Bewusstsein für Gewichtsstigma. Das Programm reduzierte die Schere zwischen Evidenz und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Ansatz zur Stärkung evidenzbasierter Praxis teilweise auf Deutschland übertragbar</w:t>
      </w:r>
    </w:p>
    <w:p>
      <w:r>
        <w:rPr>
          <w:color w:val="5A7D3A"/>
          <w:sz w:val="18"/>
        </w:rPr>
        <w:t>https://pubmed.ncbi.nlm.nih.gov/42876243/</w:t>
      </w:r>
    </w:p>
    <w:p>
      <w:pPr>
        <w:pStyle w:val="Heading2"/>
      </w:pPr>
      <w:r>
        <w:t>GLP-1-Agonisten reduzierten psychiatrische Krankenhausaufnahmen bei Schizophrenie</w:t>
      </w:r>
    </w:p>
    <w:p>
      <w:r>
        <w:rPr>
          <w:i/>
          <w:color w:val="666666"/>
          <w:sz w:val="18"/>
        </w:rPr>
        <w:t>Davoodian N et al.  ·  Lancet Psychiatry  ·  Nov. 2026  ·  PMID 42874603</w:t>
      </w:r>
    </w:p>
    <w:p>
      <w:r>
        <w:t>Beobachtungskohortenstudie mit Daten aus elektronischen Gesundheitsregistern; 70.257 US-Erwachsene mit dokumentierter Schizophrenie und Typ-2-Diabetes wurden nach Einleitung von GLP-1-Agonisten, DPP-4-Inhibitoren, SGLT2-Inhibitoren oder Nichtinitiation verglichen hinsichtlich psychiatrischer Krankenhausaufnahmen und Notaufnahmebesuche.</w:t>
      </w:r>
    </w:p>
    <w:p>
      <w:r>
        <w:rPr>
          <w:b/>
        </w:rPr>
        <w:t xml:space="preserve">Ergebnis: </w:t>
      </w:r>
      <w:r>
        <w:t>Unter 70.257 Patienten (Alter 53,1 Jahre; 48,2 % Frauen) initierten 12,9 % GLP-1-Agonisten. GLP-1-Initiierung war assoziiert mit niedrigerem Risiko psychiatrischer Krankenhausaufnahmen gegenüber Nichtinitiation (HR 0,76; 95 % CI 0,71–0,82), DPP-4-Inhibitoren (HR 0,82; 95 % CI 0,75–0,90) und SGLT2-Inhibitoren (HR 0,83; 95 % CI 0,78–0,88). Notaufnahmebesuche: HR 0,71 (95 % CI 0,65–0,77) vs. Nichtinitiation. Residuale Konfundierung und Selektionsbias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Kostentragung für GLP-1 völlig anders; Psychiatrie-Outcome nicht primärer Adipositas-Endpunkt</w:t>
      </w:r>
    </w:p>
    <w:p>
      <w:r>
        <w:rPr>
          <w:color w:val="5A7D3A"/>
          <w:sz w:val="18"/>
        </w:rPr>
        <w:t>https://pubmed.ncbi.nlm.nih.gov/42874603/</w:t>
      </w:r>
    </w:p>
    <w:p>
      <w:pPr>
        <w:pStyle w:val="Heading2"/>
      </w:pPr>
      <w:r>
        <w:t>Patientenpräferenzen bei Antidiabetika: Wirksamkeit und Handhabung vor Gewichtsverlust</w:t>
      </w:r>
    </w:p>
    <w:p>
      <w:r>
        <w:rPr>
          <w:i/>
          <w:color w:val="666666"/>
          <w:sz w:val="18"/>
        </w:rPr>
        <w:t>González-Cruz DC et al.  ·  BMJ Med  ·  08.10.2026  ·  PMID 42866418</w:t>
      </w:r>
    </w:p>
    <w:p>
      <w:r>
        <w:t>Systematischer Review von 34 Studien (15.656 Patienten) zu Werten, Präferenzen und wahrgenommener Behandlungslast bei Erwachsenen mit Typ-2-Diabetes bezüglich GLP-1-Agonisten, SGLT2-Inhibitoren, Tirzepatid oder Finerenon; 17 Studien waren neu seit 2021.</w:t>
      </w:r>
    </w:p>
    <w:p>
      <w:r>
        <w:rPr>
          <w:b/>
        </w:rPr>
        <w:t xml:space="preserve">Ergebnis: </w:t>
      </w:r>
      <w:r>
        <w:t>Patienten priorisieren durchgängig glykämische Wirksamkeit, kardiovaskuläres Risikoreduktion und Einfachheit der Anwendung. Orale Einmal-täglich-Regime und wöchentliche Injectable mit benutzerfreundlichen Geräten bevorzugt. Gewichtsverlust wird geschätzt, ist aber typischerweise sekundär gegenüber glykämischen und kardiovaskulären Vorteilen. Keine klare Präferenz zwischen SGLT2i und GLP-1RA; für Finerenon keine Daten. Evidenzsicherheit niedrig bis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Evidenz; Patientenpräferenzen prinzipiell länderübergreifend, aber Kostenerstattung (§ 34 SGB V) in Deutschland ausschlaggebend</w:t>
      </w:r>
    </w:p>
    <w:p>
      <w:r>
        <w:rPr>
          <w:color w:val="5A7D3A"/>
          <w:sz w:val="18"/>
        </w:rPr>
        <w:t>https://pubmed.ncbi.nlm.nih.gov/42866418/</w:t>
      </w:r>
    </w:p>
    <w:p>
      <w:pPr>
        <w:pStyle w:val="Heading2"/>
      </w:pPr>
      <w:r>
        <w:t>Langzeit-GLP-1-Therapie bei Adipositas: italienisches Expertenpaneel empfiehlt multimodale Strategie</w:t>
      </w:r>
    </w:p>
    <w:p>
      <w:r>
        <w:rPr>
          <w:i/>
          <w:color w:val="666666"/>
          <w:sz w:val="18"/>
        </w:rPr>
        <w:t>Brancato D et al.  ·  Front Endocrinol (Lausanne)  ·  28.09.2026  ·  PMID 42865447</w:t>
      </w:r>
    </w:p>
    <w:p>
      <w:r>
        <w:t>Expertengruppe italienischer Kliniker mit Spezialisierung auf Adipositas und Stoffwechselerkrankungen entwickelte praktische Empfehlungen für nachhaltige Langzeitbehandlung mit GLP-1-Agonisten auf Basis von Literaturanalyse und klinischer Erfahrung.</w:t>
      </w:r>
    </w:p>
    <w:p>
      <w:r>
        <w:rPr>
          <w:b/>
        </w:rPr>
        <w:t xml:space="preserve">Ergebnis: </w:t>
      </w:r>
      <w:r>
        <w:t>Schlüsselempfehlungen: (1) Adipositas als chronische Erkrankung mit Rückfallneigung anerkennen; (2) umfassende Baseline-Phänotypisierung und Treat-to-Benefit-Ansatz statt nur Gewichtsverlust; (3) Erhaltungstherapie nach Erreichen von Zielen, flexible Dosisanpassung, frühzeitige Rückfallzeichen; (4) Integration in multimodale Versorgung (Ernährung, Bewegung, Verhalten); (5) proaktives Nebenwirkungsmanagement und Patientenedukation für Adhärenz; (6) adressiere ökonomische Hürden für Nachhaltigkeit.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Italien; ähnliches Gesundheitssystem, aber Kostenerstattung GLP-1 in Deutschland § 34 SGB V ausgeschlossen</w:t>
      </w:r>
    </w:p>
    <w:p>
      <w:r>
        <w:rPr>
          <w:color w:val="5A7D3A"/>
          <w:sz w:val="18"/>
        </w:rPr>
        <w:t>https://pubmed.ncbi.nlm.nih.gov/42865447/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