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18.10.2026  |  6 Studien  |  adipositas.m-vf.de</w:t>
      </w:r>
    </w:p>
    <w:p>
      <w:pPr>
        <w:pStyle w:val="Heading1"/>
      </w:pPr>
      <w:r>
        <w:t>Aufgenommen am 18.10.2026</w:t>
      </w:r>
    </w:p>
    <w:p>
      <w:pPr>
        <w:pStyle w:val="Heading2"/>
      </w:pPr>
      <w:r>
        <w:t>Lebenslange Kosten der Kinderadipositasfolgen: Modellierung für Kasachstan zeigt 194 Mrd. KZT nationale Belastung</w:t>
      </w:r>
    </w:p>
    <w:p>
      <w:r>
        <w:rPr>
          <w:i/>
          <w:color w:val="666666"/>
          <w:sz w:val="18"/>
        </w:rPr>
        <w:t>Koichubekov B et al.  ·  Front Public Health  ·  02.10.2026  ·  PMID 42890163</w:t>
      </w:r>
    </w:p>
    <w:p>
      <w:r>
        <w:t>Dynamisches Markov-Modell schätzte lebenslange direkte medizinische Kosten der Adipositas bei Kindern (5–9 Jahre) in Kasachstan; Szenarioanalyse testete Auswirkungen einer 5- und 10%-igen Prävalenzreduktion.</w:t>
      </w:r>
    </w:p>
    <w:p>
      <w:r>
        <w:rPr>
          <w:b/>
        </w:rPr>
        <w:t xml:space="preserve">Ergebnis: </w:t>
      </w:r>
      <w:r>
        <w:t>Durchschnittliche lebenslange Kosten pro Kind: 96.996,26 KZT (USD 206,37); nationale Gesamtbelastung für 2024er Kohorte: 194 Mrd. KZT (USD 413 Mio.); kumulativ 2024–2035: 128,72 Mrd. KZT mit 71% durch Adipositas. Eine 5%-ige Prävalenzreduktion würde die lebenslange Belastung um 4,8%, eine 10%-ige Reduktion um 9,4% senken. Modellierungsstudie; Übertragbarkeit auf Deutschland begrenzt durch andere Kostenstrukturen und Gesundheitssystem.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Kasachstan, strukturell anderes Gesundheitssystem; methodisches Vorbild für Kostenschätzung</w:t>
      </w:r>
    </w:p>
    <w:p>
      <w:r>
        <w:rPr>
          <w:color w:val="5A7D3A"/>
          <w:sz w:val="18"/>
        </w:rPr>
        <w:t>https://pubmed.ncbi.nlm.nih.gov/42890163/</w:t>
      </w:r>
    </w:p>
    <w:p>
      <w:pPr>
        <w:pStyle w:val="Heading2"/>
      </w:pPr>
      <w:r>
        <w:t>Partizipative Prävention in Portugal: Schulen und Gemeinden definieren Adipositasrisiken und Lösungen</w:t>
      </w:r>
    </w:p>
    <w:p>
      <w:r>
        <w:rPr>
          <w:i/>
          <w:color w:val="666666"/>
          <w:sz w:val="18"/>
        </w:rPr>
        <w:t>Gaspar T et al.  ·  Front Public Health  ·  01.10.2026  ·  PMID 42889270</w:t>
      </w:r>
    </w:p>
    <w:p>
      <w:r>
        <w:t>Mehrmethodische Aktionsforschung in zwei portugiesischen Regionen (ländlich, urban); Befragung von 202 Schulkindern (7,4 Jahre) und 54 Erwachsenen; Fokusgruppen mit lokalen Stakeholdern zu Gesundheitsförderung und Adipositasprävention.</w:t>
      </w:r>
    </w:p>
    <w:p>
      <w:r>
        <w:rPr>
          <w:b/>
        </w:rPr>
        <w:t xml:space="preserve">Ergebnis: </w:t>
      </w:r>
      <w:r>
        <w:t>57% der Schüler berichteten Reizbarkeit/schlechte Laune, 46,7% Nervosität; 66% hatten altersberechtigt normales BMI, aber 36% trieben keine regelmäßige körperliche Aktivität; hohes Bildschirmmediennutzung und Gewaltexposition in der Freizeit. Fokusgruppen nannten Prioritäten: Bewegung, Schulverpflegung, Koordination Schule-Familie-Gemeinde; kommunale Unterschiede bei Wahrnehmung von Schulessen, Sicherheit und Servicezugang bestanden fort.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vergleichbares EU-Gesundheitssystem; transferierbar für partizipative Prävention</w:t>
      </w:r>
    </w:p>
    <w:p>
      <w:r>
        <w:rPr>
          <w:color w:val="5A7D3A"/>
          <w:sz w:val="18"/>
        </w:rPr>
        <w:t>https://pubmed.ncbi.nlm.nih.gov/42889270/</w:t>
      </w:r>
    </w:p>
    <w:p>
      <w:pPr>
        <w:pStyle w:val="Heading2"/>
      </w:pPr>
      <w:r>
        <w:t>Regionale Unterschiede im Übergewicht bei saudi-arabischen Studierenden: Riad 4,6-fach höher als Makkah</w:t>
      </w:r>
    </w:p>
    <w:p>
      <w:r>
        <w:rPr>
          <w:i/>
          <w:color w:val="666666"/>
          <w:sz w:val="18"/>
        </w:rPr>
        <w:t>Alkhraiji MH et al.  ·  Front Public Health  ·  01.10.2026  ·  PMID 42889239</w:t>
      </w:r>
    </w:p>
    <w:p>
      <w:r>
        <w:t>Querschnittstudie (März–Mai 2023) mit 564 Studierenden aus vier saudi-arabischen Regionen; Erfassung von BMI, Bewegung (IPAQ-SF), Bildschirmzeit und Ernährung; Analyse regionaler Unterschiede und assoziierter Faktoren.</w:t>
      </w:r>
    </w:p>
    <w:p>
      <w:r>
        <w:rPr>
          <w:b/>
        </w:rPr>
        <w:t xml:space="preserve">Ergebnis: </w:t>
      </w:r>
      <w:r>
        <w:t>Übergewicht/Adipositasprävalenz 17,9% (konservative Unterschätzung durch Selbstangaben); markanter regionaler Gradient: Riad 27,8% vs. Makkah 8,8% (χ² = 25,48; p &lt; 0,001). Nach Adjustment war Region der stärkste Prädiktor (aOR Riad 4,62; 95% CI 2,23–9,59; p &lt; 0,001); männliches Geschlecht aOR 1,96 (p = 0,037). 82,3% der Studierenden zeigten moderate bis hohe Sitzbewegung (≥8 h/Tag); durchschnittliche Bildschirmnutzung 3,75 h/Tag.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Saudi-Arabien, andere Versorgungsstruktur; zeigt Umweltfaktoren und regionale Ungleichheit auf</w:t>
      </w:r>
    </w:p>
    <w:p>
      <w:r>
        <w:rPr>
          <w:color w:val="5A7D3A"/>
          <w:sz w:val="18"/>
        </w:rPr>
        <w:t>https://pubmed.ncbi.nlm.nih.gov/42889239/</w:t>
      </w:r>
    </w:p>
    <w:p>
      <w:pPr>
        <w:pStyle w:val="Heading2"/>
      </w:pPr>
      <w:r>
        <w:t>MASLD in Kardio-Nieren-Metabolik-Staging reduziert Sterberisiko-Unterschätzung um bis zu 10% in Stufe 3</w:t>
      </w:r>
    </w:p>
    <w:p>
      <w:r>
        <w:rPr>
          <w:i/>
          <w:color w:val="666666"/>
          <w:sz w:val="18"/>
        </w:rPr>
        <w:t>Mostafa AM et al.  ·  Med Sci Monit  ·  17.10.2026  ·  PMID 42888835</w:t>
      </w:r>
    </w:p>
    <w:p>
      <w:r>
        <w:t>Sekundäranalyse NHANES III: 10.335 Erwachsene (20–74 Jahre) mit Mortalitäts-Follow-up bis 2019; Integration von MASLD in das CKM-Staging-Framework (ursprünglich kardiovaskulär-renal-metabolisch) zur Verbesserung der Mortalitätsstratifizierung.</w:t>
      </w:r>
    </w:p>
    <w:p>
      <w:r>
        <w:rPr>
          <w:b/>
        </w:rPr>
        <w:t xml:space="preserve">Ergebnis: </w:t>
      </w:r>
      <w:r>
        <w:t>Modifiziertes CKM-Staging zeigte überlegene Risikostratifizierung gegenüber Original-CKM, besonders in Stufe 3. Hazard Ratios für Gesamtmortalität: modifiziert 3,84 (95% CI 3,38–4,37) vs. Original 3,49 (95% CI 3,07–3,95); für kardiovaskuläre Mortalität: 6,38 (4,80–8,48) vs. 5,41 (4,12–7,12). Integration der Leber in das Kardio-Nieren-Metabolik-Achsenkonzept zeigte inkrementelle prognostische Verbesserung.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 (NHANES), aber Konzept der Mehrorgan-Stratifizierung auf europäische Versorgung übertragbar</w:t>
      </w:r>
    </w:p>
    <w:p>
      <w:r>
        <w:rPr>
          <w:color w:val="5A7D3A"/>
          <w:sz w:val="18"/>
        </w:rPr>
        <w:t>https://pubmed.ncbi.nlm.nih.gov/42888835/</w:t>
      </w:r>
    </w:p>
    <w:p>
      <w:pPr>
        <w:pStyle w:val="Heading2"/>
      </w:pPr>
      <w:r>
        <w:t>Nierenvolumen bezogen auf BMI verbessert Vorhersage der Transplantatfunktion im ersten Jahr</w:t>
      </w:r>
    </w:p>
    <w:p>
      <w:r>
        <w:rPr>
          <w:i/>
          <w:color w:val="666666"/>
          <w:sz w:val="18"/>
        </w:rPr>
        <w:t>Gianassi I et al.  ·  Clin Transplant  ·  Okt. 2026  ·  PMID 42886738</w:t>
      </w:r>
    </w:p>
    <w:p>
      <w:r>
        <w:t>Prospektive Einklinik-Studie: Ultraschallvolumung des Transplantats 1 Monat posttransplantation; Analyse, ob Differential-Nierenvolumen (DRV) indexiert zu Empfänger-BMI die eGFR nach einem Jahr voraussagt.</w:t>
      </w:r>
    </w:p>
    <w:p>
      <w:r>
        <w:rPr>
          <w:b/>
        </w:rPr>
        <w:t xml:space="preserve">Ergebnis: </w:t>
      </w:r>
      <w:r>
        <w:t>Nierenvolumparameter waren signifikant mit eGFR nach einem Jahr assoziiert; stärkere Assoziationen nach BMI-Normalisierung. DRV/BMI-Ratio zeigte stärkste Korrelation mit eGFR und blieb nach Adjustment unabhängig assoziiert. ROC-Analyse ergab AUC 0,774 für erhaltene Transplantatfunktion (Schwellenwert bedarf jedoch externe Validierung).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strukturierte Transplantationsdokumentation; einfaches Screening-Werkzeug übertragbar</w:t>
      </w:r>
    </w:p>
    <w:p>
      <w:r>
        <w:rPr>
          <w:color w:val="5A7D3A"/>
          <w:sz w:val="18"/>
        </w:rPr>
        <w:t>https://pubmed.ncbi.nlm.nih.gov/42886738/</w:t>
      </w:r>
    </w:p>
    <w:p>
      <w:pPr>
        <w:pStyle w:val="Heading2"/>
      </w:pPr>
      <w:r>
        <w:t>Mikronährstoffverlauf nach Adipositaschirurgie: Kalzium sinkt, Nebenschilddrüse steigt über 10 Jahre</w:t>
      </w:r>
    </w:p>
    <w:p>
      <w:r>
        <w:rPr>
          <w:i/>
          <w:color w:val="666666"/>
          <w:sz w:val="18"/>
        </w:rPr>
        <w:t>Mitchell S et al.  ·  Nutrients  ·  03.10.2026  ·  PMID 42884716</w:t>
      </w:r>
    </w:p>
    <w:p>
      <w:r>
        <w:t>Einzentrum-Kohortenstudie (NHS Lothian, 2011–2025) mit 426 Patienten nach Sleeve (SG, 55,2%) oder Bypass (RYGB, 41,1%); 25 biochemische Marker über 10 Jahre erfasst; lineare mixed-effects Modelle mit Benjamini-Hochberg-Korrektur.</w:t>
      </w:r>
    </w:p>
    <w:p>
      <w:r>
        <w:rPr>
          <w:b/>
        </w:rPr>
        <w:t xml:space="preserve">Ergebnis: </w:t>
      </w:r>
      <w:r>
        <w:t>Mediane Gewichtsabnahme 21,6%, Exzessgewichtsverlust 49,2%. Kalzium fiel (p &lt; 0,001), PTH stieg (+0,22 pmol/L/Jahr; 95% CI 0,11–0,33; p &lt; 0,001) trotz Vitamin-D-Anstieg (+1,20 nmol/L/Jahr; p &lt; 0,001); erhöhte PTH in ~33% persistierend. Hämoglobin sank (-0,32 g/L/Jahr; p = 0,026), Unterversorgung von 26,3% auf 38,5%. B-Vitamine stiegen (p &lt; 0,001), Thiamin nicht; Selen, Zink fielen (p &lt; 0,05); Albumin sank (p &lt; 0,001). PTH-Anstieg steiler bei PPI-Gebrauch (p = 0,002) und BMI ≥50 kg/m² (p = 0,003).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 (UK), strukturierter Chirurgie-Service mit hoher Supplement-Compliance; Muster übertragbar</w:t>
      </w:r>
    </w:p>
    <w:p>
      <w:r>
        <w:rPr>
          <w:color w:val="5A7D3A"/>
          <w:sz w:val="18"/>
        </w:rPr>
        <w:t>https://pubmed.ncbi.nlm.nih.gov/42884716/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2026-10-18T06:00:00Z</dcterms:created>
  <dcterms:modified xsi:type="dcterms:W3CDTF">2026-10-18T06:00:00Z</dcterms:modified>
  <cp:category/>
</cp:coreProperties>
</file>